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160" w:after="100"/>
        <w:jc w:val="center"/>
      </w:pPr>
      <w:r>
        <w:rPr>
          <w:rFonts w:ascii="Cambria" w:hAnsi="Cambria" w:eastAsia="Cambria" w:cs="Cambria"/>
          <w:b/>
          <w:color w:val="1F4E79"/>
          <w:sz w:val="38"/>
        </w:rPr>
        <w:t>MANAGEMENT REVIEW AGENDA &amp; MINUTES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Quality Manager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Top Management</w:t>
            </w:r>
          </w:p>
        </w:tc>
      </w:tr>
      <w:tr>
        <w:trPr>
          <w:cantSplit w:val="true"/>
        </w:trPr>
        <w:tc>
          <w:tcPr>
            <w:tcW w:type="dxa" w:w="1928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INTERNAL</w:t>
            </w:r>
          </w:p>
        </w:tc>
        <w:tc>
          <w:tcPr>
            <w:tcW w:type="dxa" w:w="1814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2027-09-17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1. Review Identification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rHeight w:val="330" w:hRule="atLeast"/>
        </w:trPr>
        <w:tc>
          <w:tcPr>
            <w:tcW w:type="dxa" w:w="238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Review Date</w:t>
            </w:r>
          </w:p>
        </w:tc>
        <w:tc>
          <w:tcPr>
            <w:tcW w:type="dxa" w:w="697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[ENTER DATE]</w:t>
            </w:r>
          </w:p>
        </w:tc>
      </w:tr>
      <w:tr>
        <w:trPr>
          <w:cantSplit w:val="true"/>
          <w:trHeight w:val="330" w:hRule="atLeast"/>
        </w:trPr>
        <w:tc>
          <w:tcPr>
            <w:tcW w:type="dxa" w:w="238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Reporting Period</w:t>
            </w:r>
          </w:p>
        </w:tc>
        <w:tc>
          <w:tcPr>
            <w:tcW w:type="dxa" w:w="697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[FROM] ____________________  [TO] ____________________</w:t>
            </w:r>
          </w:p>
        </w:tc>
      </w:tr>
      <w:tr>
        <w:trPr>
          <w:cantSplit w:val="true"/>
          <w:trHeight w:val="330" w:hRule="atLeast"/>
        </w:trPr>
        <w:tc>
          <w:tcPr>
            <w:tcW w:type="dxa" w:w="238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Chair</w:t>
            </w:r>
          </w:p>
        </w:tc>
        <w:tc>
          <w:tcPr>
            <w:tcW w:type="dxa" w:w="697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[TOP MANAGEMENT / CHAIR]</w:t>
            </w:r>
          </w:p>
        </w:tc>
      </w:tr>
      <w:tr>
        <w:trPr>
          <w:cantSplit w:val="true"/>
          <w:trHeight w:val="330" w:hRule="atLeast"/>
        </w:trPr>
        <w:tc>
          <w:tcPr>
            <w:tcW w:type="dxa" w:w="238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Location / Method</w:t>
            </w:r>
          </w:p>
        </w:tc>
        <w:tc>
          <w:tcPr>
            <w:tcW w:type="dxa" w:w="697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[LOCATION / ONLINE / HYBRID]</w:t>
            </w:r>
          </w:p>
        </w:tc>
      </w:tr>
      <w:tr>
        <w:trPr>
          <w:cantSplit w:val="true"/>
          <w:trHeight w:val="330" w:hRule="atLeast"/>
        </w:trPr>
        <w:tc>
          <w:tcPr>
            <w:tcW w:type="dxa" w:w="238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Minutes Prepared By</w:t>
            </w:r>
          </w:p>
        </w:tc>
        <w:tc>
          <w:tcPr>
            <w:tcW w:type="dxa" w:w="697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[NAME / ROLE]</w:t>
            </w:r>
          </w:p>
        </w:tc>
      </w:tr>
      <w:tr>
        <w:trPr>
          <w:cantSplit w:val="true"/>
          <w:trHeight w:val="430" w:hRule="atLeast"/>
        </w:trPr>
        <w:tc>
          <w:tcPr>
            <w:tcW w:type="dxa" w:w="238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QMS Scope Covered</w:t>
            </w:r>
          </w:p>
        </w:tc>
        <w:tc>
          <w:tcPr>
            <w:tcW w:type="dxa" w:w="697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[ENTER SCOPE / SITES / FUNCTIONS]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2. Attendees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c>
          <w:tcPr>
            <w:tcW w:type="dxa" w:w="289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sz w:val="15"/>
              </w:rPr>
              <w:t>Name</w:t>
            </w:r>
          </w:p>
        </w:tc>
        <w:tc>
          <w:tcPr>
            <w:tcW w:type="dxa" w:w="289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sz w:val="15"/>
              </w:rPr>
              <w:t>Role / Function</w:t>
            </w:r>
          </w:p>
        </w:tc>
        <w:tc>
          <w:tcPr>
            <w:tcW w:type="dxa" w:w="238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sz w:val="15"/>
              </w:rPr>
              <w:t>Attendance</w:t>
            </w:r>
          </w:p>
        </w:tc>
        <w:tc>
          <w:tcPr>
            <w:tcW w:type="dxa" w:w="119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sz w:val="15"/>
              </w:rPr>
              <w:t>Initial / Sign</w:t>
            </w:r>
          </w:p>
        </w:tc>
      </w:tr>
      <w:tr>
        <w:trPr>
          <w:cantSplit w:val="true"/>
          <w:trHeight w:val="360" w:hRule="atLeast"/>
        </w:trPr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Present   [ ] Absent</w:t>
            </w:r>
          </w:p>
        </w:tc>
        <w:tc>
          <w:tcPr>
            <w:tcW w:type="dxa" w:w="11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</w:tr>
      <w:tr>
        <w:trPr>
          <w:cantSplit w:val="true"/>
          <w:trHeight w:val="360" w:hRule="atLeast"/>
        </w:trPr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Present   [ ] Absent</w:t>
            </w:r>
          </w:p>
        </w:tc>
        <w:tc>
          <w:tcPr>
            <w:tcW w:type="dxa" w:w="11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</w:tr>
      <w:tr>
        <w:trPr>
          <w:cantSplit w:val="true"/>
          <w:trHeight w:val="360" w:hRule="atLeast"/>
        </w:trPr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Present   [ ] Absent</w:t>
            </w:r>
          </w:p>
        </w:tc>
        <w:tc>
          <w:tcPr>
            <w:tcW w:type="dxa" w:w="11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</w:tr>
      <w:tr>
        <w:trPr>
          <w:cantSplit w:val="true"/>
          <w:trHeight w:val="360" w:hRule="atLeast"/>
        </w:trPr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Present   [ ] Absent</w:t>
            </w:r>
          </w:p>
        </w:tc>
        <w:tc>
          <w:tcPr>
            <w:tcW w:type="dxa" w:w="11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</w:tr>
      <w:tr>
        <w:trPr>
          <w:cantSplit w:val="true"/>
          <w:trHeight w:val="360" w:hRule="atLeast"/>
        </w:trPr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Present   [ ] Absent</w:t>
            </w:r>
          </w:p>
        </w:tc>
        <w:tc>
          <w:tcPr>
            <w:tcW w:type="dxa" w:w="11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</w:tr>
      <w:tr>
        <w:trPr>
          <w:cantSplit w:val="true"/>
          <w:trHeight w:val="360" w:hRule="atLeast"/>
        </w:trPr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8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Present   [ ] Absent</w:t>
            </w:r>
          </w:p>
        </w:tc>
        <w:tc>
          <w:tcPr>
            <w:tcW w:type="dxa" w:w="1191"/>
            <w:tcMar>
              <w:top w:w="70" w:type="dxa"/>
              <w:left w:w="85" w:type="dxa"/>
              <w:bottom w:w="70" w:type="dxa"/>
              <w:right w:w="85" w:type="dxa"/>
            </w:tcMar>
          </w:tcPr>
          <w:p/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3. Agenda and Management Review Inputs</w:t>
      </w:r>
    </w:p>
    <w:p>
      <w:pPr>
        <w:spacing w:after="60" w:line="247" w:lineRule="auto"/>
      </w:pPr>
      <w:r>
        <w:rPr>
          <w:rFonts w:ascii="Cambria" w:hAnsi="Cambria" w:eastAsia="Cambria" w:cs="Cambria"/>
          <w:i/>
          <w:sz w:val="20"/>
        </w:rPr>
        <w:t>Record only the key evidence reviewed, management conclusion and any resulting decision/action. Detailed reports may be attached or referenced instead of copied into these minutes.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294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sz w:val="15"/>
              </w:rPr>
              <w:t>Agenda / Review Input</w:t>
            </w:r>
          </w:p>
        </w:tc>
        <w:tc>
          <w:tcPr>
            <w:tcW w:type="dxa" w:w="362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sz w:val="15"/>
              </w:rPr>
              <w:t>Key Discussion / Conclusion</w:t>
            </w:r>
          </w:p>
        </w:tc>
        <w:tc>
          <w:tcPr>
            <w:tcW w:type="dxa" w:w="170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sz w:val="15"/>
              </w:rPr>
              <w:t>Action / Decision Ref.</w:t>
            </w:r>
          </w:p>
        </w:tc>
        <w:tc>
          <w:tcPr>
            <w:tcW w:type="dxa" w:w="107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sz w:val="15"/>
              </w:rPr>
              <w:t>Status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Status of actions from previous management reviews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Significant changes affecting the QMS, organization context or relevant interested-party needs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Customer satisfaction, complaints, feedback and other relevant customer information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Quality objectives and indicator performance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Process performance and conformity of products / services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Nonconformities, corrective actions and recurring issues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Monitoring and measurement results / important trends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Internal and external audit results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External provider / supplier performance where relevant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Adequacy of people, competence, infrastructure, technology and other resources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Significant risks, opportunities and effectiveness of related actions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94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Opportunities for improvement, innovation or QMS changes</w:t>
            </w:r>
          </w:p>
        </w:tc>
        <w:tc>
          <w:tcPr>
            <w:tcW w:type="dxa" w:w="362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</w:r>
          </w:p>
        </w:tc>
        <w:tc>
          <w:tcPr>
            <w:tcW w:type="dxa" w:w="107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5"/>
              </w:rPr>
              <w:t>[ ] Open</w:t>
              <w:br/>
              <w:t>[ ] Closed</w:t>
              <w:br/>
              <w:t>[ ] N/A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4. Overall Management Conclusions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rHeight w:val="420" w:hRule="atLeast"/>
        </w:trPr>
        <w:tc>
          <w:tcPr>
            <w:tcW w:type="dxa" w:w="255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QMS Suitability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[ ] Suitable   [ ] Concern identified - see action/decision reference</w:t>
            </w:r>
          </w:p>
        </w:tc>
      </w:tr>
      <w:tr>
        <w:trPr>
          <w:cantSplit w:val="true"/>
          <w:trHeight w:val="420" w:hRule="atLeast"/>
        </w:trPr>
        <w:tc>
          <w:tcPr>
            <w:tcW w:type="dxa" w:w="255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QMS Adequacy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[ ] Adequate   [ ] Resource/control gap identified - see action/decision reference</w:t>
            </w:r>
          </w:p>
        </w:tc>
      </w:tr>
      <w:tr>
        <w:trPr>
          <w:cantSplit w:val="true"/>
          <w:trHeight w:val="420" w:hRule="atLeast"/>
        </w:trPr>
        <w:tc>
          <w:tcPr>
            <w:tcW w:type="dxa" w:w="255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QMS Effectiveness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  <w:t>[ ] Effective   [ ] Improvement / corrective action required - see reference</w:t>
            </w:r>
          </w:p>
        </w:tc>
      </w:tr>
      <w:tr>
        <w:trPr>
          <w:cantSplit w:val="true"/>
          <w:trHeight w:val="760" w:hRule="atLeast"/>
        </w:trPr>
        <w:tc>
          <w:tcPr>
            <w:tcW w:type="dxa" w:w="2551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Overall Conclusion</w:t>
            </w:r>
          </w:p>
        </w:tc>
        <w:tc>
          <w:tcPr>
            <w:tcW w:type="dxa" w:w="6803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5. Decisions and Action Tracker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cantSplit w:val="true"/>
          <w:tblHeader w:val="true"/>
        </w:trPr>
        <w:tc>
          <w:tcPr>
            <w:tcW w:type="dxa" w:w="1020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ID</w:t>
            </w:r>
          </w:p>
        </w:tc>
        <w:tc>
          <w:tcPr>
            <w:tcW w:type="dxa" w:w="3118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Decision / Action</w:t>
            </w:r>
          </w:p>
        </w:tc>
        <w:tc>
          <w:tcPr>
            <w:tcW w:type="dxa" w:w="1701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Owner</w:t>
            </w:r>
          </w:p>
        </w:tc>
        <w:tc>
          <w:tcPr>
            <w:tcW w:type="dxa" w:w="1361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Due Date</w:t>
            </w:r>
          </w:p>
        </w:tc>
        <w:tc>
          <w:tcPr>
            <w:tcW w:type="dxa" w:w="1134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Status</w:t>
            </w:r>
          </w:p>
        </w:tc>
        <w:tc>
          <w:tcPr>
            <w:tcW w:type="dxa" w:w="2154"/>
            <w:shd w:fill="E2F0D9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5"/>
              </w:rPr>
              <w:t>Evidence / Closure</w:t>
            </w:r>
          </w:p>
        </w:tc>
      </w:tr>
      <w:tr>
        <w:trPr>
          <w:cantSplit w:val="true"/>
        </w:trPr>
        <w:tc>
          <w:tcPr>
            <w:tcW w:type="dxa" w:w="10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MR-01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13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 ] Open</w:t>
              <w:br/>
              <w:t>[ ] Closed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10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MR-02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13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 ] Open</w:t>
              <w:br/>
              <w:t>[ ] Closed</w:t>
            </w:r>
          </w:p>
        </w:tc>
        <w:tc>
          <w:tcPr>
            <w:tcW w:type="dxa" w:w="215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10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MR-03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13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 ] Open</w:t>
              <w:br/>
              <w:t>[ ] Closed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1020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MR-04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70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36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13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 ] Open</w:t>
              <w:br/>
              <w:t>[ ] Closed</w:t>
            </w:r>
          </w:p>
        </w:tc>
        <w:tc>
          <w:tcPr>
            <w:tcW w:type="dxa" w:w="2154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</w:tr>
      <w:tr>
        <w:trPr>
          <w:cantSplit w:val="true"/>
        </w:trPr>
        <w:tc>
          <w:tcPr>
            <w:tcW w:type="dxa" w:w="1020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MR-05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70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36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  <w:tc>
          <w:tcPr>
            <w:tcW w:type="dxa" w:w="113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  <w:t>[ ] Open</w:t>
              <w:br/>
              <w:t>[ ] Closed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5"/>
              </w:rPr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6. Management Decisions Summary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 w:val="true"/>
          <w:trHeight w:val="620" w:hRule="atLeast"/>
        </w:trPr>
        <w:tc>
          <w:tcPr>
            <w:tcW w:type="dxa" w:w="2665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Improvement Priorities</w:t>
            </w:r>
          </w:p>
        </w:tc>
        <w:tc>
          <w:tcPr>
            <w:tcW w:type="dxa" w:w="6690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665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QMS / Process Changes</w:t>
            </w:r>
          </w:p>
        </w:tc>
        <w:tc>
          <w:tcPr>
            <w:tcW w:type="dxa" w:w="6690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665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Resource Decisions</w:t>
            </w:r>
          </w:p>
        </w:tc>
        <w:tc>
          <w:tcPr>
            <w:tcW w:type="dxa" w:w="6690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</w:r>
          </w:p>
        </w:tc>
      </w:tr>
      <w:tr>
        <w:trPr>
          <w:cantSplit w:val="true"/>
          <w:trHeight w:val="620" w:hRule="atLeast"/>
        </w:trPr>
        <w:tc>
          <w:tcPr>
            <w:tcW w:type="dxa" w:w="2665"/>
            <w:shd w:fill="EAF3F8" w:val="clear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7"/>
              </w:rPr>
              <w:t>Other Management Decisions</w:t>
            </w:r>
          </w:p>
        </w:tc>
        <w:tc>
          <w:tcPr>
            <w:tcW w:type="dxa" w:w="6690"/>
            <w:tcMar>
              <w:top w:w="70" w:type="dxa"/>
              <w:left w:w="85" w:type="dxa"/>
              <w:bottom w:w="70" w:type="dxa"/>
              <w:right w:w="85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  <w:keepNext/>
        <w:spacing w:before="140" w:after="60"/>
      </w:pPr>
      <w:r>
        <w:rPr>
          <w:rFonts w:ascii="Cambria" w:hAnsi="Cambria" w:eastAsia="Cambria" w:cs="Cambria"/>
          <w:b/>
          <w:color w:val="1F4E79"/>
          <w:sz w:val="24"/>
        </w:rPr>
        <w:t>7. Approval and Follow-up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 w:val="true"/>
          <w:tblHeader w:val="true"/>
        </w:trPr>
        <w:tc>
          <w:tcPr>
            <w:tcW w:type="dxa" w:w="2381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311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Name / Position</w:t>
            </w:r>
          </w:p>
        </w:tc>
        <w:tc>
          <w:tcPr>
            <w:tcW w:type="dxa" w:w="2268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Signature / Approval</w:t>
            </w:r>
          </w:p>
        </w:tc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6"/>
              </w:rPr>
              <w:t>Date</w:t>
            </w:r>
          </w:p>
        </w:tc>
      </w:tr>
      <w:tr>
        <w:trPr>
          <w:cantSplit w:val="true"/>
        </w:trPr>
        <w:tc>
          <w:tcPr>
            <w:tcW w:type="dxa" w:w="2381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Chair / Top Management</w:t>
            </w:r>
          </w:p>
        </w:tc>
        <w:tc>
          <w:tcPr>
            <w:tcW w:type="dxa" w:w="311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2268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</w:tr>
      <w:tr>
        <w:trPr>
          <w:cantSplit w:val="true"/>
        </w:trPr>
        <w:tc>
          <w:tcPr>
            <w:tcW w:type="dxa" w:w="2381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  <w:t>Quality Manager</w:t>
            </w:r>
          </w:p>
        </w:tc>
        <w:tc>
          <w:tcPr>
            <w:tcW w:type="dxa" w:w="311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2268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  <w:tc>
          <w:tcPr>
            <w:tcW w:type="dxa" w:w="1587"/>
            <w:shd w:fill="FAFCFD" w:val="clear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6"/>
              </w:rPr>
            </w:r>
          </w:p>
        </w:tc>
      </w:tr>
    </w:tbl>
    <w:p>
      <w:pPr>
        <w:spacing w:after="0"/>
      </w:pPr>
    </w:p>
    <w:p>
      <w:pPr>
        <w:spacing w:after="60" w:line="247" w:lineRule="auto"/>
      </w:pPr>
      <w:r>
        <w:rPr>
          <w:rFonts w:ascii="Cambria" w:hAnsi="Cambria" w:eastAsia="Cambria" w:cs="Cambria"/>
          <w:i/>
          <w:sz w:val="20"/>
        </w:rPr>
        <w:t>Retention Period: [As defined by the organization's record retention requirements].</w:t>
      </w:r>
    </w:p>
    <w:p>
      <w:pPr>
        <w:pStyle w:val="Heading2"/>
        <w:keepNext/>
        <w:spacing w:before="100" w:after="60"/>
      </w:pPr>
      <w:r>
        <w:rPr>
          <w:rFonts w:ascii="Cambria" w:hAnsi="Cambria" w:eastAsia="Cambria" w:cs="Cambria"/>
          <w:b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5" w:space="0" w:color="B7C9D6"/>
          <w:left w:val="single" w:sz="5" w:space="0" w:color="B7C9D6"/>
          <w:bottom w:val="single" w:sz="5" w:space="0" w:color="B7C9D6"/>
          <w:right w:val="single" w:sz="5" w:space="0" w:color="B7C9D6"/>
          <w:insideH w:val="single" w:sz="5" w:space="0" w:color="B7C9D6"/>
          <w:insideV w:val="single" w:sz="5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 w:val="true"/>
          <w:tblHeader w:val="true"/>
        </w:trPr>
        <w:tc>
          <w:tcPr>
            <w:tcW w:type="dxa" w:w="1587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fill="D9EAF7" w:val="clear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Description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2026-09-17</w:t>
            </w:r>
          </w:p>
        </w:tc>
        <w:tc>
          <w:tcPr>
            <w:tcW w:type="dxa" w:w="5613"/>
            <w:tcMar>
              <w:top w:w="70" w:type="dxa"/>
              <w:left w:w="85" w:type="dxa"/>
              <w:bottom w:w="70" w:type="dxa"/>
              <w:right w:w="85" w:type="dxa"/>
            </w:tcMar>
            <w:vAlign w:val="top"/>
          </w:tcPr>
          <w:p>
            <w:pPr>
              <w:spacing w:after="0"/>
            </w:pPr>
            <w:r>
              <w:rPr>
                <w:rFonts w:ascii="Cambria" w:hAnsi="Cambria" w:eastAsia="Cambria" w:cs="Cambria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41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0"/>
      <w:jc w:val="center"/>
    </w:pPr>
    <w:r>
      <w:rPr>
        <w:rFonts w:ascii="Cambria" w:hAnsi="Cambria" w:eastAsia="Cambria" w:cs="Cambria"/>
        <w:color w:val="595959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 w:cs="Cambria"/>
        <w:color w:val="595959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  <w:r>
      <w:rPr>
        <w:rFonts w:ascii="Cambria" w:hAnsi="Cambria" w:eastAsia="Cambria" w:cs="Cambria"/>
        <w:color w:val="595959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 w:cs="Cambria"/>
        <w:color w:val="595959"/>
        <w:sz w:val="16"/>
      </w:rP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b/>
              <w:color w:val="1F4E79"/>
              <w:sz w:val="16"/>
            </w:rPr>
            <w:t>ORGANIZATION NAME</w:t>
          </w:r>
          <w:r>
            <w:rPr>
              <w:rFonts w:ascii="Cambria" w:hAnsi="Cambria" w:eastAsia="Cambria" w:cs="Cambria"/>
              <w:b/>
              <w:color w:val="000000"/>
              <w:sz w:val="20"/>
            </w:rPr>
            <w:br/>
            <w:t>Management Review Agenda &amp; Minutes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 w:cs="Cambria"/>
              <w:color w:val="000000"/>
              <w:sz w:val="15"/>
            </w:rPr>
            <w:t>QMS-FRM-001</w:t>
            <w:br/>
            <w:t>Version 1.0</w:t>
            <w:br/>
            <w:t>Effective 2026-09-17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mbria" w:hAnsi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Review Agenda &amp; Minutes</dc:title>
  <dc:subject>Management review agenda and minutes template</dc:subject>
  <dc:creator>ISO Toolkits</dc:creator>
  <cp:keywords>ISO 9001:2026, management review, agenda, minutes, management decisions, QMS, ISO Toolkits</cp:keywords>
  <dc:description>Built using Word 2007-compatible OOXML rules in accordance with Master Prompt V3.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