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160" w:after="60"/>
        <w:jc w:val="center"/>
      </w:pPr>
      <w:r>
        <w:rPr>
          <w:rFonts w:ascii="Cambria" w:hAnsi="Cambria" w:eastAsia="Cambria" w:cs="Cambria"/>
          <w:b/>
          <w:color w:val="1F4E79"/>
          <w:sz w:val="38"/>
        </w:rPr>
        <w:t>INTERNAL AUDIT GUIDANCE</w:t>
      </w:r>
    </w:p>
    <w:p>
      <w:pPr>
        <w:spacing w:after="120"/>
        <w:jc w:val="center"/>
      </w:pPr>
      <w:r>
        <w:rPr>
          <w:rFonts w:ascii="Cambria" w:hAnsi="Cambria" w:eastAsia="Cambria" w:cs="Cambria"/>
          <w:b/>
          <w:color w:val="000000"/>
          <w:sz w:val="23"/>
        </w:rPr>
        <w:t>Practical Guide for QMS Internal Auditors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Document Owner</w:t>
            </w:r>
          </w:p>
        </w:tc>
        <w:tc>
          <w:tcPr>
            <w:tcW w:type="dxa" w:w="2721"/>
            <w:tcMar>
              <w:top w:w="70" w:type="dxa"/>
              <w:left w:w="85" w:type="dxa"/>
              <w:bottom w:w="70" w:type="dxa"/>
              <w:right w:w="85" w:type="dxa"/>
            </w:tcMar>
          </w:tcPr>
          <w:p>
            <w:pPr>
              <w:spacing w:after="0"/>
            </w:pPr>
            <w:r>
              <w:rPr>
                <w:rFonts w:ascii="Cambria" w:hAnsi="Cambria" w:eastAsia="Cambria" w:cs="Cambria"/>
                <w:b w:val="0"/>
                <w:sz w:val="17"/>
              </w:rPr>
              <w:t>Quality Manager</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Approver</w:t>
            </w:r>
          </w:p>
        </w:tc>
        <w:tc>
          <w:tcPr>
            <w:tcW w:type="dxa" w:w="2608"/>
            <w:tcMar>
              <w:top w:w="70" w:type="dxa"/>
              <w:left w:w="85" w:type="dxa"/>
              <w:bottom w:w="70" w:type="dxa"/>
              <w:right w:w="85" w:type="dxa"/>
            </w:tcMar>
          </w:tcPr>
          <w:p>
            <w:pPr>
              <w:spacing w:after="0"/>
            </w:pPr>
            <w:r>
              <w:rPr>
                <w:rFonts w:ascii="Cambria" w:hAnsi="Cambria" w:eastAsia="Cambria" w:cs="Cambria"/>
                <w:b w:val="0"/>
                <w:sz w:val="17"/>
              </w:rPr>
              <w:t>Top Management</w:t>
            </w:r>
          </w:p>
        </w:tc>
      </w:tr>
      <w:tr>
        <w:trPr>
          <w:cantSplit w:val="true"/>
        </w:trPr>
        <w:tc>
          <w:tcPr>
            <w:tcW w:type="dxa" w:w="1928"/>
            <w:shd w:fill="EAF3F8" w:val="clear"/>
            <w:tcMar>
              <w:top w:w="70" w:type="dxa"/>
              <w:left w:w="85" w:type="dxa"/>
              <w:bottom w:w="70" w:type="dxa"/>
              <w:right w:w="85" w:type="dxa"/>
            </w:tcMar>
          </w:tcPr>
          <w:p>
            <w:pPr>
              <w:spacing w:after="0"/>
            </w:pPr>
            <w:r>
              <w:rPr>
                <w:rFonts w:ascii="Cambria" w:hAnsi="Cambria" w:eastAsia="Cambria" w:cs="Cambria"/>
                <w:b/>
                <w:sz w:val="17"/>
              </w:rPr>
              <w:t>Classification</w:t>
            </w:r>
          </w:p>
        </w:tc>
        <w:tc>
          <w:tcPr>
            <w:tcW w:type="dxa" w:w="2721"/>
            <w:tcMar>
              <w:top w:w="70" w:type="dxa"/>
              <w:left w:w="85" w:type="dxa"/>
              <w:bottom w:w="70" w:type="dxa"/>
              <w:right w:w="85" w:type="dxa"/>
            </w:tcMar>
          </w:tcPr>
          <w:p>
            <w:pPr>
              <w:spacing w:after="0"/>
            </w:pPr>
            <w:r>
              <w:rPr>
                <w:rFonts w:ascii="Cambria" w:hAnsi="Cambria" w:eastAsia="Cambria" w:cs="Cambria"/>
                <w:b w:val="0"/>
                <w:sz w:val="17"/>
              </w:rPr>
              <w:t>INTERNAL</w:t>
            </w:r>
          </w:p>
        </w:tc>
        <w:tc>
          <w:tcPr>
            <w:tcW w:type="dxa" w:w="1814"/>
            <w:shd w:fill="EAF3F8" w:val="clear"/>
            <w:tcMar>
              <w:top w:w="70" w:type="dxa"/>
              <w:left w:w="85" w:type="dxa"/>
              <w:bottom w:w="70" w:type="dxa"/>
              <w:right w:w="85" w:type="dxa"/>
            </w:tcMar>
          </w:tcPr>
          <w:p>
            <w:pPr>
              <w:spacing w:after="0"/>
            </w:pPr>
            <w:r>
              <w:rPr>
                <w:rFonts w:ascii="Cambria" w:hAnsi="Cambria" w:eastAsia="Cambria" w:cs="Cambria"/>
                <w:b/>
                <w:sz w:val="17"/>
              </w:rPr>
              <w:t>Next Review</w:t>
            </w:r>
          </w:p>
        </w:tc>
        <w:tc>
          <w:tcPr>
            <w:tcW w:type="dxa" w:w="2608"/>
            <w:tcMar>
              <w:top w:w="70" w:type="dxa"/>
              <w:left w:w="85" w:type="dxa"/>
              <w:bottom w:w="70" w:type="dxa"/>
              <w:right w:w="85" w:type="dxa"/>
            </w:tcMar>
          </w:tcPr>
          <w:p>
            <w:pPr>
              <w:spacing w:after="0"/>
            </w:pPr>
            <w:r>
              <w:rPr>
                <w:rFonts w:ascii="Cambria" w:hAnsi="Cambria" w:eastAsia="Cambria" w:cs="Cambria"/>
                <w:b w:val="0"/>
                <w:sz w:val="17"/>
              </w:rPr>
              <w:t>2027-09-17</w:t>
            </w:r>
          </w:p>
        </w:tc>
      </w:tr>
    </w:tbl>
    <w:p>
      <w:pPr>
        <w:pStyle w:val="Heading1"/>
        <w:keepNext/>
        <w:spacing w:before="140" w:after="60"/>
      </w:pPr>
      <w:r>
        <w:rPr>
          <w:rFonts w:ascii="Cambria" w:hAnsi="Cambria" w:eastAsia="Cambria" w:cs="Cambria"/>
          <w:b/>
          <w:color w:val="1F4E79"/>
          <w:sz w:val="24"/>
        </w:rPr>
        <w:t>1. Purpose and Use</w:t>
      </w:r>
    </w:p>
    <w:p>
      <w:pPr>
        <w:spacing w:after="60" w:line="247" w:lineRule="auto"/>
      </w:pPr>
      <w:r>
        <w:rPr>
          <w:rFonts w:ascii="Cambria" w:hAnsi="Cambria" w:eastAsia="Cambria" w:cs="Cambria"/>
          <w:i w:val="0"/>
          <w:sz w:val="20"/>
        </w:rPr>
        <w:t>Use this guidance when preparing, conducting, reporting or following up an internal Quality Management System (QMS) audit. It is intended as a practical companion to the organization’s Internal Audit Procedure and should help auditors obtain reliable evidence, reach supportable conclusions and communicate findings clearly.</w:t>
      </w:r>
    </w:p>
    <w:p>
      <w:pPr>
        <w:spacing w:after="60" w:line="247" w:lineRule="auto"/>
      </w:pPr>
      <w:r>
        <w:rPr>
          <w:rFonts w:ascii="Cambria" w:hAnsi="Cambria" w:eastAsia="Cambria" w:cs="Cambria"/>
          <w:i w:val="0"/>
          <w:sz w:val="20"/>
        </w:rPr>
        <w:t>This document is guidance, not a script. Auditors should adapt the depth of review to the audit scope, process significance, recent changes, previous results and the risks associated with ineffective controls.</w:t>
      </w:r>
    </w:p>
    <w:p>
      <w:pPr>
        <w:pStyle w:val="Heading1"/>
        <w:keepNext/>
        <w:spacing w:before="140" w:after="60"/>
      </w:pPr>
      <w:r>
        <w:rPr>
          <w:rFonts w:ascii="Cambria" w:hAnsi="Cambria" w:eastAsia="Cambria" w:cs="Cambria"/>
          <w:b/>
          <w:color w:val="1F4E79"/>
          <w:sz w:val="24"/>
        </w:rPr>
        <w:t>2. References</w:t>
      </w:r>
    </w:p>
    <w:p>
      <w:pPr>
        <w:pStyle w:val="ListBullet"/>
        <w:spacing w:after="30"/>
        <w:ind w:left="340" w:hanging="170"/>
      </w:pPr>
      <w:r>
        <w:rPr>
          <w:rFonts w:ascii="Cambria" w:hAnsi="Cambria" w:eastAsia="Cambria" w:cs="Cambria"/>
          <w:sz w:val="19"/>
        </w:rPr>
        <w:t>ISO 9001:2026 - Quality management systems - Requirements.</w:t>
      </w:r>
    </w:p>
    <w:p>
      <w:pPr>
        <w:pStyle w:val="ListBullet"/>
        <w:spacing w:after="30"/>
        <w:ind w:left="340" w:hanging="170"/>
      </w:pPr>
      <w:r>
        <w:rPr>
          <w:rFonts w:ascii="Cambria" w:hAnsi="Cambria" w:eastAsia="Cambria" w:cs="Cambria"/>
          <w:sz w:val="19"/>
        </w:rPr>
        <w:t>ISO 19011:2026 - Guidelines for auditing management systems.</w:t>
      </w:r>
    </w:p>
    <w:p>
      <w:pPr>
        <w:pStyle w:val="ListBullet"/>
        <w:spacing w:after="30"/>
        <w:ind w:left="340" w:hanging="170"/>
      </w:pPr>
      <w:r>
        <w:rPr>
          <w:rFonts w:ascii="Cambria" w:hAnsi="Cambria" w:eastAsia="Cambria" w:cs="Cambria"/>
          <w:sz w:val="19"/>
        </w:rPr>
        <w:t>Internal Audit Procedure and applicable QMS procedures, process maps, objectives, records and corrective action records.</w:t>
      </w:r>
    </w:p>
    <w:p>
      <w:pPr>
        <w:spacing w:after="60" w:line="247" w:lineRule="auto"/>
      </w:pPr>
      <w:r>
        <w:rPr>
          <w:rFonts w:ascii="Cambria" w:hAnsi="Cambria" w:eastAsia="Cambria" w:cs="Cambria"/>
          <w:i/>
          <w:sz w:val="20"/>
        </w:rPr>
        <w:t>The guidance below paraphrases practical audit concepts and does not reproduce the text of the standards.</w:t>
      </w:r>
    </w:p>
    <w:p>
      <w:pPr>
        <w:pStyle w:val="Heading1"/>
        <w:keepNext/>
        <w:spacing w:before="140" w:after="60"/>
      </w:pPr>
      <w:r>
        <w:rPr>
          <w:rFonts w:ascii="Cambria" w:hAnsi="Cambria" w:eastAsia="Cambria" w:cs="Cambria"/>
          <w:b/>
          <w:color w:val="1F4E79"/>
          <w:sz w:val="24"/>
        </w:rPr>
        <w:t>3. Auditor Mindset - What Good Auditing Looks Like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55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Principle in Practice</w:t>
            </w:r>
          </w:p>
        </w:tc>
        <w:tc>
          <w:tcPr>
            <w:tcW w:type="dxa" w:w="6803"/>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What the Auditor Should Do</w:t>
            </w:r>
          </w:p>
        </w:tc>
      </w:tr>
      <w:tr>
        <w:trPr>
          <w:cantSplit w:val="true"/>
        </w:trPr>
        <w:tc>
          <w:tcPr>
            <w:tcW w:type="dxa" w:w="2551"/>
            <w:tcMar>
              <w:top w:w="70" w:type="dxa"/>
              <w:left w:w="85" w:type="dxa"/>
              <w:bottom w:w="70" w:type="dxa"/>
              <w:right w:w="85" w:type="dxa"/>
            </w:tcMar>
            <w:vAlign w:val="top"/>
          </w:tcPr>
          <w:p>
            <w:pPr>
              <w:spacing w:after="0"/>
            </w:pPr>
            <w:r>
              <w:rPr>
                <w:rFonts w:ascii="Cambria" w:hAnsi="Cambria" w:eastAsia="Cambria" w:cs="Cambria"/>
                <w:sz w:val="16"/>
              </w:rPr>
              <w:t>Integrity</w:t>
            </w:r>
          </w:p>
        </w:tc>
        <w:tc>
          <w:tcPr>
            <w:tcW w:type="dxa" w:w="6803"/>
            <w:tcMar>
              <w:top w:w="70" w:type="dxa"/>
              <w:left w:w="85" w:type="dxa"/>
              <w:bottom w:w="70" w:type="dxa"/>
              <w:right w:w="85" w:type="dxa"/>
            </w:tcMar>
            <w:vAlign w:val="top"/>
          </w:tcPr>
          <w:p>
            <w:pPr>
              <w:spacing w:after="0"/>
            </w:pPr>
            <w:r>
              <w:rPr>
                <w:rFonts w:ascii="Cambria" w:hAnsi="Cambria" w:eastAsia="Cambria" w:cs="Cambria"/>
                <w:sz w:val="16"/>
              </w:rPr>
              <w:t>Be honest, factual and professional. Do not adjust conclusions to please the auditee or management.</w:t>
            </w:r>
          </w:p>
        </w:tc>
      </w:tr>
      <w:tr>
        <w:trPr>
          <w:cantSplit w:val="true"/>
        </w:trPr>
        <w:tc>
          <w:tcPr>
            <w:tcW w:type="dxa" w:w="2551"/>
            <w:shd w:fill="FAFCFD" w:val="clear"/>
            <w:tcMar>
              <w:top w:w="70" w:type="dxa"/>
              <w:left w:w="85" w:type="dxa"/>
              <w:bottom w:w="70" w:type="dxa"/>
              <w:right w:w="85" w:type="dxa"/>
            </w:tcMar>
            <w:vAlign w:val="top"/>
          </w:tcPr>
          <w:p>
            <w:pPr>
              <w:spacing w:after="0"/>
            </w:pPr>
            <w:r>
              <w:rPr>
                <w:rFonts w:ascii="Cambria" w:hAnsi="Cambria" w:eastAsia="Cambria" w:cs="Cambria"/>
                <w:sz w:val="16"/>
              </w:rPr>
              <w:t>Fair presentation</w:t>
            </w:r>
          </w:p>
        </w:tc>
        <w:tc>
          <w:tcPr>
            <w:tcW w:type="dxa" w:w="6803"/>
            <w:shd w:fill="FAFCFD" w:val="clear"/>
            <w:tcMar>
              <w:top w:w="70" w:type="dxa"/>
              <w:left w:w="85" w:type="dxa"/>
              <w:bottom w:w="70" w:type="dxa"/>
              <w:right w:w="85" w:type="dxa"/>
            </w:tcMar>
            <w:vAlign w:val="top"/>
          </w:tcPr>
          <w:p>
            <w:pPr>
              <w:spacing w:after="0"/>
            </w:pPr>
            <w:r>
              <w:rPr>
                <w:rFonts w:ascii="Cambria" w:hAnsi="Cambria" w:eastAsia="Cambria" w:cs="Cambria"/>
                <w:sz w:val="16"/>
              </w:rPr>
              <w:t>Report significant evidence, limitations and disagreements accurately. Avoid exaggeration or vague wording.</w:t>
            </w:r>
          </w:p>
        </w:tc>
      </w:tr>
      <w:tr>
        <w:trPr>
          <w:cantSplit w:val="true"/>
        </w:trPr>
        <w:tc>
          <w:tcPr>
            <w:tcW w:type="dxa" w:w="2551"/>
            <w:tcMar>
              <w:top w:w="70" w:type="dxa"/>
              <w:left w:w="85" w:type="dxa"/>
              <w:bottom w:w="70" w:type="dxa"/>
              <w:right w:w="85" w:type="dxa"/>
            </w:tcMar>
            <w:vAlign w:val="top"/>
          </w:tcPr>
          <w:p>
            <w:pPr>
              <w:spacing w:after="0"/>
            </w:pPr>
            <w:r>
              <w:rPr>
                <w:rFonts w:ascii="Cambria" w:hAnsi="Cambria" w:eastAsia="Cambria" w:cs="Cambria"/>
                <w:sz w:val="16"/>
              </w:rPr>
              <w:t>Due professional care</w:t>
            </w:r>
          </w:p>
        </w:tc>
        <w:tc>
          <w:tcPr>
            <w:tcW w:type="dxa" w:w="6803"/>
            <w:tcMar>
              <w:top w:w="70" w:type="dxa"/>
              <w:left w:w="85" w:type="dxa"/>
              <w:bottom w:w="70" w:type="dxa"/>
              <w:right w:w="85" w:type="dxa"/>
            </w:tcMar>
            <w:vAlign w:val="top"/>
          </w:tcPr>
          <w:p>
            <w:pPr>
              <w:spacing w:after="0"/>
            </w:pPr>
            <w:r>
              <w:rPr>
                <w:rFonts w:ascii="Cambria" w:hAnsi="Cambria" w:eastAsia="Cambria" w:cs="Cambria"/>
                <w:sz w:val="16"/>
              </w:rPr>
              <w:t>Prepare properly, ask relevant questions, follow evidence and use judgement proportionate to the risk.</w:t>
            </w:r>
          </w:p>
        </w:tc>
      </w:tr>
      <w:tr>
        <w:trPr>
          <w:cantSplit w:val="true"/>
        </w:trPr>
        <w:tc>
          <w:tcPr>
            <w:tcW w:type="dxa" w:w="2551"/>
            <w:shd w:fill="FAFCFD" w:val="clear"/>
            <w:tcMar>
              <w:top w:w="70" w:type="dxa"/>
              <w:left w:w="85" w:type="dxa"/>
              <w:bottom w:w="70" w:type="dxa"/>
              <w:right w:w="85" w:type="dxa"/>
            </w:tcMar>
            <w:vAlign w:val="top"/>
          </w:tcPr>
          <w:p>
            <w:pPr>
              <w:spacing w:after="0"/>
            </w:pPr>
            <w:r>
              <w:rPr>
                <w:rFonts w:ascii="Cambria" w:hAnsi="Cambria" w:eastAsia="Cambria" w:cs="Cambria"/>
                <w:sz w:val="16"/>
              </w:rPr>
              <w:t>Confidentiality</w:t>
            </w:r>
          </w:p>
        </w:tc>
        <w:tc>
          <w:tcPr>
            <w:tcW w:type="dxa" w:w="6803"/>
            <w:shd w:fill="FAFCFD" w:val="clear"/>
            <w:tcMar>
              <w:top w:w="70" w:type="dxa"/>
              <w:left w:w="85" w:type="dxa"/>
              <w:bottom w:w="70" w:type="dxa"/>
              <w:right w:w="85" w:type="dxa"/>
            </w:tcMar>
            <w:vAlign w:val="top"/>
          </w:tcPr>
          <w:p>
            <w:pPr>
              <w:spacing w:after="0"/>
            </w:pPr>
            <w:r>
              <w:rPr>
                <w:rFonts w:ascii="Cambria" w:hAnsi="Cambria" w:eastAsia="Cambria" w:cs="Cambria"/>
                <w:sz w:val="16"/>
              </w:rPr>
              <w:t>Protect information obtained during the audit and share it only with authorized recipients.</w:t>
            </w:r>
          </w:p>
        </w:tc>
      </w:tr>
      <w:tr>
        <w:trPr>
          <w:cantSplit w:val="true"/>
        </w:trPr>
        <w:tc>
          <w:tcPr>
            <w:tcW w:type="dxa" w:w="2551"/>
            <w:tcMar>
              <w:top w:w="70" w:type="dxa"/>
              <w:left w:w="85" w:type="dxa"/>
              <w:bottom w:w="70" w:type="dxa"/>
              <w:right w:w="85" w:type="dxa"/>
            </w:tcMar>
            <w:vAlign w:val="top"/>
          </w:tcPr>
          <w:p>
            <w:pPr>
              <w:spacing w:after="0"/>
            </w:pPr>
            <w:r>
              <w:rPr>
                <w:rFonts w:ascii="Cambria" w:hAnsi="Cambria" w:eastAsia="Cambria" w:cs="Cambria"/>
                <w:sz w:val="16"/>
              </w:rPr>
              <w:t>Independence / objectivity</w:t>
            </w:r>
          </w:p>
        </w:tc>
        <w:tc>
          <w:tcPr>
            <w:tcW w:type="dxa" w:w="6803"/>
            <w:tcMar>
              <w:top w:w="70" w:type="dxa"/>
              <w:left w:w="85" w:type="dxa"/>
              <w:bottom w:w="70" w:type="dxa"/>
              <w:right w:w="85" w:type="dxa"/>
            </w:tcMar>
            <w:vAlign w:val="top"/>
          </w:tcPr>
          <w:p>
            <w:pPr>
              <w:spacing w:after="0"/>
            </w:pPr>
            <w:r>
              <w:rPr>
                <w:rFonts w:ascii="Cambria" w:hAnsi="Cambria" w:eastAsia="Cambria" w:cs="Cambria"/>
                <w:sz w:val="16"/>
              </w:rPr>
              <w:t>Avoid auditing your own work where this could affect impartiality. Declare conflicts before the audit.</w:t>
            </w:r>
          </w:p>
        </w:tc>
      </w:tr>
      <w:tr>
        <w:trPr>
          <w:cantSplit w:val="true"/>
        </w:trPr>
        <w:tc>
          <w:tcPr>
            <w:tcW w:type="dxa" w:w="2551"/>
            <w:shd w:fill="FAFCFD" w:val="clear"/>
            <w:tcMar>
              <w:top w:w="70" w:type="dxa"/>
              <w:left w:w="85" w:type="dxa"/>
              <w:bottom w:w="70" w:type="dxa"/>
              <w:right w:w="85" w:type="dxa"/>
            </w:tcMar>
            <w:vAlign w:val="top"/>
          </w:tcPr>
          <w:p>
            <w:pPr>
              <w:spacing w:after="0"/>
            </w:pPr>
            <w:r>
              <w:rPr>
                <w:rFonts w:ascii="Cambria" w:hAnsi="Cambria" w:eastAsia="Cambria" w:cs="Cambria"/>
                <w:sz w:val="16"/>
              </w:rPr>
              <w:t>Evidence-based approach</w:t>
            </w:r>
          </w:p>
        </w:tc>
        <w:tc>
          <w:tcPr>
            <w:tcW w:type="dxa" w:w="6803"/>
            <w:shd w:fill="FAFCFD" w:val="clear"/>
            <w:tcMar>
              <w:top w:w="70" w:type="dxa"/>
              <w:left w:w="85" w:type="dxa"/>
              <w:bottom w:w="70" w:type="dxa"/>
              <w:right w:w="85" w:type="dxa"/>
            </w:tcMar>
            <w:vAlign w:val="top"/>
          </w:tcPr>
          <w:p>
            <w:pPr>
              <w:spacing w:after="0"/>
            </w:pPr>
            <w:r>
              <w:rPr>
                <w:rFonts w:ascii="Cambria" w:hAnsi="Cambria" w:eastAsia="Cambria" w:cs="Cambria"/>
                <w:sz w:val="16"/>
              </w:rPr>
              <w:t>Base conclusions on verifiable information, not assumption, reputation or isolated opinion.</w:t>
            </w:r>
          </w:p>
        </w:tc>
      </w:tr>
      <w:tr>
        <w:trPr>
          <w:cantSplit w:val="true"/>
        </w:trPr>
        <w:tc>
          <w:tcPr>
            <w:tcW w:type="dxa" w:w="2551"/>
            <w:tcMar>
              <w:top w:w="70" w:type="dxa"/>
              <w:left w:w="85" w:type="dxa"/>
              <w:bottom w:w="70" w:type="dxa"/>
              <w:right w:w="85" w:type="dxa"/>
            </w:tcMar>
            <w:vAlign w:val="top"/>
          </w:tcPr>
          <w:p>
            <w:pPr>
              <w:spacing w:after="0"/>
            </w:pPr>
            <w:r>
              <w:rPr>
                <w:rFonts w:ascii="Cambria" w:hAnsi="Cambria" w:eastAsia="Cambria" w:cs="Cambria"/>
                <w:sz w:val="16"/>
              </w:rPr>
              <w:t>Risk-based approach</w:t>
            </w:r>
          </w:p>
        </w:tc>
        <w:tc>
          <w:tcPr>
            <w:tcW w:type="dxa" w:w="6803"/>
            <w:tcMar>
              <w:top w:w="70" w:type="dxa"/>
              <w:left w:w="85" w:type="dxa"/>
              <w:bottom w:w="70" w:type="dxa"/>
              <w:right w:w="85" w:type="dxa"/>
            </w:tcMar>
            <w:vAlign w:val="top"/>
          </w:tcPr>
          <w:p>
            <w:pPr>
              <w:spacing w:after="0"/>
            </w:pPr>
            <w:r>
              <w:rPr>
                <w:rFonts w:ascii="Cambria" w:hAnsi="Cambria" w:eastAsia="Cambria" w:cs="Cambria"/>
                <w:sz w:val="16"/>
              </w:rPr>
              <w:t>Spend more audit time where failure would matter most, while still covering the approved scope.</w:t>
            </w:r>
          </w:p>
        </w:tc>
      </w:tr>
    </w:tbl>
    <w:p>
      <w:pPr>
        <w:spacing w:after="0"/>
      </w:pPr>
    </w:p>
    <w:p>
      <w:pPr>
        <w:pStyle w:val="Heading1"/>
        <w:keepNext/>
        <w:spacing w:before="140" w:after="60"/>
      </w:pPr>
      <w:r>
        <w:rPr>
          <w:rFonts w:ascii="Cambria" w:hAnsi="Cambria" w:eastAsia="Cambria" w:cs="Cambria"/>
          <w:b/>
          <w:color w:val="1F4E79"/>
          <w:sz w:val="24"/>
        </w:rPr>
        <w:t>4. Before the Audit</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209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Task</w:t>
            </w:r>
          </w:p>
        </w:tc>
        <w:tc>
          <w:tcPr>
            <w:tcW w:type="dxa" w:w="5272"/>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Practical Guidance</w:t>
            </w:r>
          </w:p>
        </w:tc>
        <w:tc>
          <w:tcPr>
            <w:tcW w:type="dxa" w:w="198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Output</w:t>
            </w:r>
          </w:p>
        </w:tc>
      </w:tr>
      <w:tr>
        <w:trPr>
          <w:cantSplit w:val="true"/>
        </w:trPr>
        <w:tc>
          <w:tcPr>
            <w:tcW w:type="dxa" w:w="2098"/>
            <w:tcMar>
              <w:top w:w="70" w:type="dxa"/>
              <w:left w:w="85" w:type="dxa"/>
              <w:bottom w:w="70" w:type="dxa"/>
              <w:right w:w="85" w:type="dxa"/>
            </w:tcMar>
            <w:vAlign w:val="top"/>
          </w:tcPr>
          <w:p>
            <w:pPr>
              <w:spacing w:after="0"/>
            </w:pPr>
            <w:r>
              <w:rPr>
                <w:rFonts w:ascii="Cambria" w:hAnsi="Cambria" w:eastAsia="Cambria" w:cs="Cambria"/>
                <w:sz w:val="16"/>
              </w:rPr>
              <w:t>Confirm objective, scope and criteria</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Know what the audit is intended to determine, which processes/locations are included and what requirements will be used as criteria.</w:t>
            </w:r>
          </w:p>
        </w:tc>
        <w:tc>
          <w:tcPr>
            <w:tcW w:type="dxa" w:w="1984"/>
            <w:tcMar>
              <w:top w:w="70" w:type="dxa"/>
              <w:left w:w="85" w:type="dxa"/>
              <w:bottom w:w="70" w:type="dxa"/>
              <w:right w:w="85" w:type="dxa"/>
            </w:tcMar>
            <w:vAlign w:val="top"/>
          </w:tcPr>
          <w:p>
            <w:pPr>
              <w:spacing w:after="0"/>
            </w:pPr>
            <w:r>
              <w:rPr>
                <w:rFonts w:ascii="Cambria" w:hAnsi="Cambria" w:eastAsia="Cambria" w:cs="Cambria"/>
                <w:sz w:val="16"/>
              </w:rPr>
              <w:t>Confirmed audit brief</w:t>
            </w:r>
          </w:p>
        </w:tc>
      </w:tr>
      <w:tr>
        <w:trPr>
          <w:cantSplit w:val="true"/>
        </w:trPr>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6"/>
              </w:rPr>
              <w:t>Review prior information</w:t>
            </w:r>
          </w:p>
        </w:tc>
        <w:tc>
          <w:tcPr>
            <w:tcW w:type="dxa" w:w="5272"/>
            <w:shd w:fill="FAFCFD" w:val="clear"/>
            <w:tcMar>
              <w:top w:w="70" w:type="dxa"/>
              <w:left w:w="85" w:type="dxa"/>
              <w:bottom w:w="70" w:type="dxa"/>
              <w:right w:w="85" w:type="dxa"/>
            </w:tcMar>
            <w:vAlign w:val="top"/>
          </w:tcPr>
          <w:p>
            <w:pPr>
              <w:spacing w:after="0"/>
            </w:pPr>
            <w:r>
              <w:rPr>
                <w:rFonts w:ascii="Cambria" w:hAnsi="Cambria" w:eastAsia="Cambria" w:cs="Cambria"/>
                <w:sz w:val="16"/>
              </w:rPr>
              <w:t>Check previous findings, overdue actions, process measures, complaints, changes, risks, incidents and management review inputs relevant to the area.</w:t>
            </w:r>
          </w:p>
        </w:tc>
        <w:tc>
          <w:tcPr>
            <w:tcW w:type="dxa" w:w="1984"/>
            <w:shd w:fill="FAFCFD" w:val="clear"/>
            <w:tcMar>
              <w:top w:w="70" w:type="dxa"/>
              <w:left w:w="85" w:type="dxa"/>
              <w:bottom w:w="70" w:type="dxa"/>
              <w:right w:w="85" w:type="dxa"/>
            </w:tcMar>
            <w:vAlign w:val="top"/>
          </w:tcPr>
          <w:p>
            <w:pPr>
              <w:spacing w:after="0"/>
            </w:pPr>
            <w:r>
              <w:rPr>
                <w:rFonts w:ascii="Cambria" w:hAnsi="Cambria" w:eastAsia="Cambria" w:cs="Cambria"/>
                <w:sz w:val="16"/>
              </w:rPr>
              <w:t>Focus areas</w:t>
            </w:r>
          </w:p>
        </w:tc>
      </w:tr>
      <w:tr>
        <w:trPr>
          <w:cantSplit w:val="true"/>
        </w:trPr>
        <w:tc>
          <w:tcPr>
            <w:tcW w:type="dxa" w:w="2098"/>
            <w:tcMar>
              <w:top w:w="70" w:type="dxa"/>
              <w:left w:w="85" w:type="dxa"/>
              <w:bottom w:w="70" w:type="dxa"/>
              <w:right w:w="85" w:type="dxa"/>
            </w:tcMar>
            <w:vAlign w:val="top"/>
          </w:tcPr>
          <w:p>
            <w:pPr>
              <w:spacing w:after="0"/>
            </w:pPr>
            <w:r>
              <w:rPr>
                <w:rFonts w:ascii="Cambria" w:hAnsi="Cambria" w:eastAsia="Cambria" w:cs="Cambria"/>
                <w:sz w:val="16"/>
              </w:rPr>
              <w:t>Plan the audit trail</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Select process flows, transactions, records or customer/service examples that can be traced from input through output.</w:t>
            </w:r>
          </w:p>
        </w:tc>
        <w:tc>
          <w:tcPr>
            <w:tcW w:type="dxa" w:w="1984"/>
            <w:tcMar>
              <w:top w:w="70" w:type="dxa"/>
              <w:left w:w="85" w:type="dxa"/>
              <w:bottom w:w="70" w:type="dxa"/>
              <w:right w:w="85" w:type="dxa"/>
            </w:tcMar>
            <w:vAlign w:val="top"/>
          </w:tcPr>
          <w:p>
            <w:pPr>
              <w:spacing w:after="0"/>
            </w:pPr>
            <w:r>
              <w:rPr>
                <w:rFonts w:ascii="Cambria" w:hAnsi="Cambria" w:eastAsia="Cambria" w:cs="Cambria"/>
                <w:sz w:val="16"/>
              </w:rPr>
              <w:t>Audit trail / sampling plan</w:t>
            </w:r>
          </w:p>
        </w:tc>
      </w:tr>
      <w:tr>
        <w:trPr>
          <w:cantSplit w:val="true"/>
        </w:trPr>
        <w:tc>
          <w:tcPr>
            <w:tcW w:type="dxa" w:w="2098"/>
            <w:shd w:fill="FAFCFD" w:val="clear"/>
            <w:tcMar>
              <w:top w:w="70" w:type="dxa"/>
              <w:left w:w="85" w:type="dxa"/>
              <w:bottom w:w="70" w:type="dxa"/>
              <w:right w:w="85" w:type="dxa"/>
            </w:tcMar>
            <w:vAlign w:val="top"/>
          </w:tcPr>
          <w:p>
            <w:pPr>
              <w:spacing w:after="0"/>
            </w:pPr>
            <w:r>
              <w:rPr>
                <w:rFonts w:ascii="Cambria" w:hAnsi="Cambria" w:eastAsia="Cambria" w:cs="Cambria"/>
                <w:sz w:val="16"/>
              </w:rPr>
              <w:t>Prepare questions</w:t>
            </w:r>
          </w:p>
        </w:tc>
        <w:tc>
          <w:tcPr>
            <w:tcW w:type="dxa" w:w="5272"/>
            <w:shd w:fill="FAFCFD" w:val="clear"/>
            <w:tcMar>
              <w:top w:w="70" w:type="dxa"/>
              <w:left w:w="85" w:type="dxa"/>
              <w:bottom w:w="70" w:type="dxa"/>
              <w:right w:w="85" w:type="dxa"/>
            </w:tcMar>
            <w:vAlign w:val="top"/>
          </w:tcPr>
          <w:p>
            <w:pPr>
              <w:spacing w:after="0"/>
            </w:pPr>
            <w:r>
              <w:rPr>
                <w:rFonts w:ascii="Cambria" w:hAnsi="Cambria" w:eastAsia="Cambria" w:cs="Cambria"/>
                <w:sz w:val="16"/>
              </w:rPr>
              <w:t>Use open questions first, then verify with records and observation. Avoid turning the audit into a checklist-reading exercise.</w:t>
            </w:r>
          </w:p>
        </w:tc>
        <w:tc>
          <w:tcPr>
            <w:tcW w:type="dxa" w:w="1984"/>
            <w:shd w:fill="FAFCFD" w:val="clear"/>
            <w:tcMar>
              <w:top w:w="70" w:type="dxa"/>
              <w:left w:w="85" w:type="dxa"/>
              <w:bottom w:w="70" w:type="dxa"/>
              <w:right w:w="85" w:type="dxa"/>
            </w:tcMar>
            <w:vAlign w:val="top"/>
          </w:tcPr>
          <w:p>
            <w:pPr>
              <w:spacing w:after="0"/>
            </w:pPr>
            <w:r>
              <w:rPr>
                <w:rFonts w:ascii="Cambria" w:hAnsi="Cambria" w:eastAsia="Cambria" w:cs="Cambria"/>
                <w:sz w:val="16"/>
              </w:rPr>
              <w:t>Working questions</w:t>
            </w:r>
          </w:p>
        </w:tc>
      </w:tr>
      <w:tr>
        <w:trPr>
          <w:cantSplit w:val="true"/>
        </w:trPr>
        <w:tc>
          <w:tcPr>
            <w:tcW w:type="dxa" w:w="2098"/>
            <w:tcMar>
              <w:top w:w="70" w:type="dxa"/>
              <w:left w:w="85" w:type="dxa"/>
              <w:bottom w:w="70" w:type="dxa"/>
              <w:right w:w="85" w:type="dxa"/>
            </w:tcMar>
            <w:vAlign w:val="top"/>
          </w:tcPr>
          <w:p>
            <w:pPr>
              <w:spacing w:after="0"/>
            </w:pPr>
            <w:r>
              <w:rPr>
                <w:rFonts w:ascii="Cambria" w:hAnsi="Cambria" w:eastAsia="Cambria" w:cs="Cambria"/>
                <w:sz w:val="16"/>
              </w:rPr>
              <w:t>Confirm logistics</w:t>
            </w:r>
          </w:p>
        </w:tc>
        <w:tc>
          <w:tcPr>
            <w:tcW w:type="dxa" w:w="5272"/>
            <w:tcMar>
              <w:top w:w="70" w:type="dxa"/>
              <w:left w:w="85" w:type="dxa"/>
              <w:bottom w:w="70" w:type="dxa"/>
              <w:right w:w="85" w:type="dxa"/>
            </w:tcMar>
            <w:vAlign w:val="top"/>
          </w:tcPr>
          <w:p>
            <w:pPr>
              <w:spacing w:after="0"/>
            </w:pPr>
            <w:r>
              <w:rPr>
                <w:rFonts w:ascii="Cambria" w:hAnsi="Cambria" w:eastAsia="Cambria" w:cs="Cambria"/>
                <w:sz w:val="16"/>
              </w:rPr>
              <w:t>Agree date, timing, key contacts, access, confidentiality, safety/security requirements and remote-access needs if applicable.</w:t>
            </w:r>
          </w:p>
        </w:tc>
        <w:tc>
          <w:tcPr>
            <w:tcW w:type="dxa" w:w="1984"/>
            <w:tcMar>
              <w:top w:w="70" w:type="dxa"/>
              <w:left w:w="85" w:type="dxa"/>
              <w:bottom w:w="70" w:type="dxa"/>
              <w:right w:w="85" w:type="dxa"/>
            </w:tcMar>
            <w:vAlign w:val="top"/>
          </w:tcPr>
          <w:p>
            <w:pPr>
              <w:spacing w:after="0"/>
            </w:pPr>
            <w:r>
              <w:rPr>
                <w:rFonts w:ascii="Cambria" w:hAnsi="Cambria" w:eastAsia="Cambria" w:cs="Cambria"/>
                <w:sz w:val="16"/>
              </w:rPr>
              <w:t>Confirmed arrangements</w:t>
            </w:r>
          </w:p>
        </w:tc>
      </w:tr>
    </w:tbl>
    <w:p>
      <w:pPr>
        <w:spacing w:after="0"/>
      </w:pPr>
    </w:p>
    <w:p>
      <w:pPr>
        <w:pStyle w:val="Heading1"/>
        <w:keepNext/>
        <w:spacing w:before="140" w:after="60"/>
      </w:pPr>
      <w:r>
        <w:rPr>
          <w:rFonts w:ascii="Cambria" w:hAnsi="Cambria" w:eastAsia="Cambria" w:cs="Cambria"/>
          <w:b/>
          <w:color w:val="1F4E79"/>
          <w:sz w:val="24"/>
        </w:rPr>
        <w:t>5. Conducting the Audit</w:t>
      </w:r>
    </w:p>
    <w:p>
      <w:pPr>
        <w:pStyle w:val="Heading2"/>
        <w:keepNext/>
        <w:spacing w:before="100" w:after="60"/>
      </w:pPr>
      <w:r>
        <w:rPr>
          <w:rFonts w:ascii="Cambria" w:hAnsi="Cambria" w:eastAsia="Cambria" w:cs="Cambria"/>
          <w:b/>
          <w:color w:val="000000"/>
          <w:sz w:val="21"/>
        </w:rPr>
        <w:t>5.1 Opening Meeting</w:t>
      </w:r>
    </w:p>
    <w:p>
      <w:pPr>
        <w:spacing w:after="60" w:line="247" w:lineRule="auto"/>
      </w:pPr>
      <w:r>
        <w:rPr>
          <w:rFonts w:ascii="Cambria" w:hAnsi="Cambria" w:eastAsia="Cambria" w:cs="Cambria"/>
          <w:i w:val="0"/>
          <w:sz w:val="20"/>
        </w:rPr>
        <w:t>Keep the opening meeting brief. Confirm the audit objective, scope, criteria, schedule, communication route, confidentiality, practical constraints and expected closing time. Confirm that the audit will use sampling and that findings will be based on objective evidence.</w:t>
      </w:r>
    </w:p>
    <w:p>
      <w:pPr>
        <w:pStyle w:val="Heading2"/>
        <w:keepNext/>
        <w:spacing w:before="100" w:after="60"/>
      </w:pPr>
      <w:r>
        <w:rPr>
          <w:rFonts w:ascii="Cambria" w:hAnsi="Cambria" w:eastAsia="Cambria" w:cs="Cambria"/>
          <w:b/>
          <w:color w:val="000000"/>
          <w:sz w:val="21"/>
        </w:rPr>
        <w:t>5.2 Collect Objective Evidence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170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Method</w:t>
            </w:r>
          </w:p>
        </w:tc>
        <w:tc>
          <w:tcPr>
            <w:tcW w:type="dxa" w:w="4989"/>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How to Use It Well</w:t>
            </w:r>
          </w:p>
        </w:tc>
        <w:tc>
          <w:tcPr>
            <w:tcW w:type="dxa" w:w="266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Watch For</w:t>
            </w:r>
          </w:p>
        </w:tc>
      </w:tr>
      <w:tr>
        <w:trPr>
          <w:cantSplit w:val="true"/>
        </w:trPr>
        <w:tc>
          <w:tcPr>
            <w:tcW w:type="dxa" w:w="1701"/>
            <w:tcMar>
              <w:top w:w="70" w:type="dxa"/>
              <w:left w:w="85" w:type="dxa"/>
              <w:bottom w:w="70" w:type="dxa"/>
              <w:right w:w="85" w:type="dxa"/>
            </w:tcMar>
            <w:vAlign w:val="top"/>
          </w:tcPr>
          <w:p>
            <w:pPr>
              <w:spacing w:after="0"/>
            </w:pPr>
            <w:r>
              <w:rPr>
                <w:rFonts w:ascii="Cambria" w:hAnsi="Cambria" w:eastAsia="Cambria" w:cs="Cambria"/>
                <w:sz w:val="16"/>
              </w:rPr>
              <w:t>Interview</w:t>
            </w:r>
          </w:p>
        </w:tc>
        <w:tc>
          <w:tcPr>
            <w:tcW w:type="dxa" w:w="4989"/>
            <w:tcMar>
              <w:top w:w="70" w:type="dxa"/>
              <w:left w:w="85" w:type="dxa"/>
              <w:bottom w:w="70" w:type="dxa"/>
              <w:right w:w="85" w:type="dxa"/>
            </w:tcMar>
            <w:vAlign w:val="top"/>
          </w:tcPr>
          <w:p>
            <w:pPr>
              <w:spacing w:after="0"/>
            </w:pPr>
            <w:r>
              <w:rPr>
                <w:rFonts w:ascii="Cambria" w:hAnsi="Cambria" w:eastAsia="Cambria" w:cs="Cambria"/>
                <w:sz w:val="16"/>
              </w:rPr>
              <w:t>Ask how the work is actually performed. Follow up with “show me” or “what record demonstrates that?”.</w:t>
            </w:r>
          </w:p>
        </w:tc>
        <w:tc>
          <w:tcPr>
            <w:tcW w:type="dxa" w:w="2665"/>
            <w:tcMar>
              <w:top w:w="70" w:type="dxa"/>
              <w:left w:w="85" w:type="dxa"/>
              <w:bottom w:w="70" w:type="dxa"/>
              <w:right w:w="85" w:type="dxa"/>
            </w:tcMar>
            <w:vAlign w:val="top"/>
          </w:tcPr>
          <w:p>
            <w:pPr>
              <w:spacing w:after="0"/>
            </w:pPr>
            <w:r>
              <w:rPr>
                <w:rFonts w:ascii="Cambria" w:hAnsi="Cambria" w:eastAsia="Cambria" w:cs="Cambria"/>
                <w:sz w:val="16"/>
              </w:rPr>
              <w:t>Answers that are not supported by records or observed practice.</w:t>
            </w:r>
          </w:p>
        </w:tc>
      </w:tr>
      <w:tr>
        <w:trPr>
          <w:cantSplit w:val="true"/>
        </w:trPr>
        <w:tc>
          <w:tcPr>
            <w:tcW w:type="dxa" w:w="1701"/>
            <w:shd w:fill="FAFCFD" w:val="clear"/>
            <w:tcMar>
              <w:top w:w="70" w:type="dxa"/>
              <w:left w:w="85" w:type="dxa"/>
              <w:bottom w:w="70" w:type="dxa"/>
              <w:right w:w="85" w:type="dxa"/>
            </w:tcMar>
            <w:vAlign w:val="top"/>
          </w:tcPr>
          <w:p>
            <w:pPr>
              <w:spacing w:after="0"/>
            </w:pPr>
            <w:r>
              <w:rPr>
                <w:rFonts w:ascii="Cambria" w:hAnsi="Cambria" w:eastAsia="Cambria" w:cs="Cambria"/>
                <w:sz w:val="16"/>
              </w:rPr>
              <w:t>Observe</w:t>
            </w:r>
          </w:p>
        </w:tc>
        <w:tc>
          <w:tcPr>
            <w:tcW w:type="dxa" w:w="4989"/>
            <w:shd w:fill="FAFCFD" w:val="clear"/>
            <w:tcMar>
              <w:top w:w="70" w:type="dxa"/>
              <w:left w:w="85" w:type="dxa"/>
              <w:bottom w:w="70" w:type="dxa"/>
              <w:right w:w="85" w:type="dxa"/>
            </w:tcMar>
            <w:vAlign w:val="top"/>
          </w:tcPr>
          <w:p>
            <w:pPr>
              <w:spacing w:after="0"/>
            </w:pPr>
            <w:r>
              <w:rPr>
                <w:rFonts w:ascii="Cambria" w:hAnsi="Cambria" w:eastAsia="Cambria" w:cs="Cambria"/>
                <w:sz w:val="16"/>
              </w:rPr>
              <w:t>Watch the activity, hand-off, control or decision point being performed where practical.</w:t>
            </w:r>
          </w:p>
        </w:tc>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6"/>
              </w:rPr>
              <w:t>Workarounds, skipped controls, uncontrolled information or inconsistent practice.</w:t>
            </w:r>
          </w:p>
        </w:tc>
      </w:tr>
      <w:tr>
        <w:trPr>
          <w:cantSplit w:val="true"/>
        </w:trPr>
        <w:tc>
          <w:tcPr>
            <w:tcW w:type="dxa" w:w="1701"/>
            <w:tcMar>
              <w:top w:w="70" w:type="dxa"/>
              <w:left w:w="85" w:type="dxa"/>
              <w:bottom w:w="70" w:type="dxa"/>
              <w:right w:w="85" w:type="dxa"/>
            </w:tcMar>
            <w:vAlign w:val="top"/>
          </w:tcPr>
          <w:p>
            <w:pPr>
              <w:spacing w:after="0"/>
            </w:pPr>
            <w:r>
              <w:rPr>
                <w:rFonts w:ascii="Cambria" w:hAnsi="Cambria" w:eastAsia="Cambria" w:cs="Cambria"/>
                <w:sz w:val="16"/>
              </w:rPr>
              <w:t>Review records</w:t>
            </w:r>
          </w:p>
        </w:tc>
        <w:tc>
          <w:tcPr>
            <w:tcW w:type="dxa" w:w="4989"/>
            <w:tcMar>
              <w:top w:w="70" w:type="dxa"/>
              <w:left w:w="85" w:type="dxa"/>
              <w:bottom w:w="70" w:type="dxa"/>
              <w:right w:w="85" w:type="dxa"/>
            </w:tcMar>
            <w:vAlign w:val="top"/>
          </w:tcPr>
          <w:p>
            <w:pPr>
              <w:spacing w:after="0"/>
            </w:pPr>
            <w:r>
              <w:rPr>
                <w:rFonts w:ascii="Cambria" w:hAnsi="Cambria" w:eastAsia="Cambria" w:cs="Cambria"/>
                <w:sz w:val="16"/>
              </w:rPr>
              <w:t>Sample completed records, logs, approvals, system entries, performance data and corrective action evidence.</w:t>
            </w:r>
          </w:p>
        </w:tc>
        <w:tc>
          <w:tcPr>
            <w:tcW w:type="dxa" w:w="2665"/>
            <w:tcMar>
              <w:top w:w="70" w:type="dxa"/>
              <w:left w:w="85" w:type="dxa"/>
              <w:bottom w:w="70" w:type="dxa"/>
              <w:right w:w="85" w:type="dxa"/>
            </w:tcMar>
            <w:vAlign w:val="top"/>
          </w:tcPr>
          <w:p>
            <w:pPr>
              <w:spacing w:after="0"/>
            </w:pPr>
            <w:r>
              <w:rPr>
                <w:rFonts w:ascii="Cambria" w:hAnsi="Cambria" w:eastAsia="Cambria" w:cs="Cambria"/>
                <w:sz w:val="16"/>
              </w:rPr>
              <w:t>Missing evidence, inconsistent entries, overdue items or records completed after the event.</w:t>
            </w:r>
          </w:p>
        </w:tc>
      </w:tr>
      <w:tr>
        <w:trPr>
          <w:cantSplit w:val="true"/>
        </w:trPr>
        <w:tc>
          <w:tcPr>
            <w:tcW w:type="dxa" w:w="1701"/>
            <w:shd w:fill="FAFCFD" w:val="clear"/>
            <w:tcMar>
              <w:top w:w="70" w:type="dxa"/>
              <w:left w:w="85" w:type="dxa"/>
              <w:bottom w:w="70" w:type="dxa"/>
              <w:right w:w="85" w:type="dxa"/>
            </w:tcMar>
            <w:vAlign w:val="top"/>
          </w:tcPr>
          <w:p>
            <w:pPr>
              <w:spacing w:after="0"/>
            </w:pPr>
            <w:r>
              <w:rPr>
                <w:rFonts w:ascii="Cambria" w:hAnsi="Cambria" w:eastAsia="Cambria" w:cs="Cambria"/>
                <w:sz w:val="16"/>
              </w:rPr>
              <w:t>Trace a process / transaction</w:t>
            </w:r>
          </w:p>
        </w:tc>
        <w:tc>
          <w:tcPr>
            <w:tcW w:type="dxa" w:w="4989"/>
            <w:shd w:fill="FAFCFD" w:val="clear"/>
            <w:tcMar>
              <w:top w:w="70" w:type="dxa"/>
              <w:left w:w="85" w:type="dxa"/>
              <w:bottom w:w="70" w:type="dxa"/>
              <w:right w:w="85" w:type="dxa"/>
            </w:tcMar>
            <w:vAlign w:val="top"/>
          </w:tcPr>
          <w:p>
            <w:pPr>
              <w:spacing w:after="0"/>
            </w:pPr>
            <w:r>
              <w:rPr>
                <w:rFonts w:ascii="Cambria" w:hAnsi="Cambria" w:eastAsia="Cambria" w:cs="Cambria"/>
                <w:sz w:val="16"/>
              </w:rPr>
              <w:t>Follow one or more examples from request/input through delivery/output and related controls.</w:t>
            </w:r>
          </w:p>
        </w:tc>
        <w:tc>
          <w:tcPr>
            <w:tcW w:type="dxa" w:w="2665"/>
            <w:shd w:fill="FAFCFD" w:val="clear"/>
            <w:tcMar>
              <w:top w:w="70" w:type="dxa"/>
              <w:left w:w="85" w:type="dxa"/>
              <w:bottom w:w="70" w:type="dxa"/>
              <w:right w:w="85" w:type="dxa"/>
            </w:tcMar>
            <w:vAlign w:val="top"/>
          </w:tcPr>
          <w:p>
            <w:pPr>
              <w:spacing w:after="0"/>
            </w:pPr>
            <w:r>
              <w:rPr>
                <w:rFonts w:ascii="Cambria" w:hAnsi="Cambria" w:eastAsia="Cambria" w:cs="Cambria"/>
                <w:sz w:val="16"/>
              </w:rPr>
              <w:t>Breakdowns at interfaces between functions or systems.</w:t>
            </w:r>
          </w:p>
        </w:tc>
      </w:tr>
      <w:tr>
        <w:trPr>
          <w:cantSplit w:val="true"/>
        </w:trPr>
        <w:tc>
          <w:tcPr>
            <w:tcW w:type="dxa" w:w="1701"/>
            <w:tcMar>
              <w:top w:w="70" w:type="dxa"/>
              <w:left w:w="85" w:type="dxa"/>
              <w:bottom w:w="70" w:type="dxa"/>
              <w:right w:w="85" w:type="dxa"/>
            </w:tcMar>
            <w:vAlign w:val="top"/>
          </w:tcPr>
          <w:p>
            <w:pPr>
              <w:spacing w:after="0"/>
            </w:pPr>
            <w:r>
              <w:rPr>
                <w:rFonts w:ascii="Cambria" w:hAnsi="Cambria" w:eastAsia="Cambria" w:cs="Cambria"/>
                <w:sz w:val="16"/>
              </w:rPr>
              <w:t>Cross-check</w:t>
            </w:r>
          </w:p>
        </w:tc>
        <w:tc>
          <w:tcPr>
            <w:tcW w:type="dxa" w:w="4989"/>
            <w:tcMar>
              <w:top w:w="70" w:type="dxa"/>
              <w:left w:w="85" w:type="dxa"/>
              <w:bottom w:w="70" w:type="dxa"/>
              <w:right w:w="85" w:type="dxa"/>
            </w:tcMar>
            <w:vAlign w:val="top"/>
          </w:tcPr>
          <w:p>
            <w:pPr>
              <w:spacing w:after="0"/>
            </w:pPr>
            <w:r>
              <w:rPr>
                <w:rFonts w:ascii="Cambria" w:hAnsi="Cambria" w:eastAsia="Cambria" w:cs="Cambria"/>
                <w:sz w:val="16"/>
              </w:rPr>
              <w:t>Compare interview statements, documents, system data and actual practice.</w:t>
            </w:r>
          </w:p>
        </w:tc>
        <w:tc>
          <w:tcPr>
            <w:tcW w:type="dxa" w:w="2665"/>
            <w:tcMar>
              <w:top w:w="70" w:type="dxa"/>
              <w:left w:w="85" w:type="dxa"/>
              <w:bottom w:w="70" w:type="dxa"/>
              <w:right w:w="85" w:type="dxa"/>
            </w:tcMar>
            <w:vAlign w:val="top"/>
          </w:tcPr>
          <w:p>
            <w:pPr>
              <w:spacing w:after="0"/>
            </w:pPr>
            <w:r>
              <w:rPr>
                <w:rFonts w:ascii="Cambria" w:hAnsi="Cambria" w:eastAsia="Cambria" w:cs="Cambria"/>
                <w:sz w:val="16"/>
              </w:rPr>
              <w:t>Conflicting information that requires further evidence.</w:t>
            </w:r>
          </w:p>
        </w:tc>
      </w:tr>
    </w:tbl>
    <w:p>
      <w:pPr>
        <w:spacing w:after="0"/>
      </w:pPr>
    </w:p>
    <w:p>
      <w:pPr>
        <w:pStyle w:val="Heading2"/>
        <w:keepNext/>
        <w:spacing w:before="100" w:after="60"/>
      </w:pPr>
      <w:r>
        <w:rPr>
          <w:rFonts w:ascii="Cambria" w:hAnsi="Cambria" w:eastAsia="Cambria" w:cs="Cambria"/>
          <w:b/>
          <w:color w:val="000000"/>
          <w:sz w:val="21"/>
        </w:rPr>
        <w:t>5.3 Practical Interview Prompts</w:t>
      </w:r>
    </w:p>
    <w:p>
      <w:pPr>
        <w:pStyle w:val="ListBullet"/>
        <w:spacing w:after="30"/>
        <w:ind w:left="340" w:hanging="170"/>
      </w:pPr>
      <w:r>
        <w:rPr>
          <w:rFonts w:ascii="Cambria" w:hAnsi="Cambria" w:eastAsia="Cambria" w:cs="Cambria"/>
          <w:sz w:val="19"/>
        </w:rPr>
        <w:t>Walk me through how this process starts and ends.</w:t>
      </w:r>
    </w:p>
    <w:p>
      <w:pPr>
        <w:pStyle w:val="ListBullet"/>
        <w:spacing w:after="30"/>
        <w:ind w:left="340" w:hanging="170"/>
      </w:pPr>
      <w:r>
        <w:rPr>
          <w:rFonts w:ascii="Cambria" w:hAnsi="Cambria" w:eastAsia="Cambria" w:cs="Cambria"/>
          <w:sz w:val="19"/>
        </w:rPr>
        <w:t>What tells you what to do, and how do you know you have the current information?</w:t>
      </w:r>
    </w:p>
    <w:p>
      <w:pPr>
        <w:pStyle w:val="ListBullet"/>
        <w:spacing w:after="30"/>
        <w:ind w:left="340" w:hanging="170"/>
      </w:pPr>
      <w:r>
        <w:rPr>
          <w:rFonts w:ascii="Cambria" w:hAnsi="Cambria" w:eastAsia="Cambria" w:cs="Cambria"/>
          <w:sz w:val="19"/>
        </w:rPr>
        <w:t>What could go wrong here, and what control prevents or detects it?</w:t>
      </w:r>
    </w:p>
    <w:p>
      <w:pPr>
        <w:pStyle w:val="ListBullet"/>
        <w:spacing w:after="30"/>
        <w:ind w:left="340" w:hanging="170"/>
      </w:pPr>
      <w:r>
        <w:rPr>
          <w:rFonts w:ascii="Cambria" w:hAnsi="Cambria" w:eastAsia="Cambria" w:cs="Cambria"/>
          <w:sz w:val="19"/>
        </w:rPr>
        <w:t>Show me a recent completed example.</w:t>
      </w:r>
    </w:p>
    <w:p>
      <w:pPr>
        <w:pStyle w:val="ListBullet"/>
        <w:spacing w:after="30"/>
        <w:ind w:left="340" w:hanging="170"/>
      </w:pPr>
      <w:r>
        <w:rPr>
          <w:rFonts w:ascii="Cambria" w:hAnsi="Cambria" w:eastAsia="Cambria" w:cs="Cambria"/>
          <w:sz w:val="19"/>
        </w:rPr>
        <w:t>How do you know the process is meeting its intended result?</w:t>
      </w:r>
    </w:p>
    <w:p>
      <w:pPr>
        <w:pStyle w:val="ListBullet"/>
        <w:spacing w:after="30"/>
        <w:ind w:left="340" w:hanging="170"/>
      </w:pPr>
      <w:r>
        <w:rPr>
          <w:rFonts w:ascii="Cambria" w:hAnsi="Cambria" w:eastAsia="Cambria" w:cs="Cambria"/>
          <w:sz w:val="19"/>
        </w:rPr>
        <w:t>What happens when the normal process cannot be followed?</w:t>
      </w:r>
    </w:p>
    <w:p>
      <w:pPr>
        <w:pStyle w:val="ListBullet"/>
        <w:spacing w:after="30"/>
        <w:ind w:left="340" w:hanging="170"/>
      </w:pPr>
      <w:r>
        <w:rPr>
          <w:rFonts w:ascii="Cambria" w:hAnsi="Cambria" w:eastAsia="Cambria" w:cs="Cambria"/>
          <w:sz w:val="19"/>
        </w:rPr>
        <w:t>What changes have occurred since the last audit?</w:t>
      </w:r>
    </w:p>
    <w:p>
      <w:pPr>
        <w:pStyle w:val="ListBullet"/>
        <w:spacing w:after="30"/>
        <w:ind w:left="340" w:hanging="170"/>
      </w:pPr>
      <w:r>
        <w:rPr>
          <w:rFonts w:ascii="Cambria" w:hAnsi="Cambria" w:eastAsia="Cambria" w:cs="Cambria"/>
          <w:sz w:val="19"/>
        </w:rPr>
        <w:t>How are errors, complaints or nonconformities handled and prevented from recurring?</w:t>
      </w:r>
    </w:p>
    <w:p>
      <w:pPr>
        <w:pStyle w:val="Heading2"/>
        <w:keepNext/>
        <w:spacing w:before="100" w:after="60"/>
      </w:pPr>
      <w:r>
        <w:rPr>
          <w:rFonts w:ascii="Cambria" w:hAnsi="Cambria" w:eastAsia="Cambria" w:cs="Cambria"/>
          <w:b/>
          <w:color w:val="000000"/>
          <w:sz w:val="21"/>
        </w:rPr>
        <w:t>5.4 Sampling</w:t>
      </w:r>
    </w:p>
    <w:p>
      <w:pPr>
        <w:spacing w:after="60" w:line="247" w:lineRule="auto"/>
      </w:pPr>
      <w:r>
        <w:rPr>
          <w:rFonts w:ascii="Cambria" w:hAnsi="Cambria" w:eastAsia="Cambria" w:cs="Cambria"/>
          <w:i w:val="0"/>
          <w:sz w:val="20"/>
        </w:rPr>
        <w:t>Audit sampling should be purposeful and sufficient to support the conclusion, but it does not need to review every record. Select samples across relevant dates, people, products/services, shifts, locations or transaction types where variation could matter. Increase the sample when evidence is inconsistent, a control appears unreliable, or previous issues suggest elevated risk.</w:t>
      </w:r>
    </w:p>
    <w:p>
      <w:pPr>
        <w:spacing w:after="60" w:line="247" w:lineRule="auto"/>
      </w:pPr>
      <w:r>
        <w:rPr>
          <w:rFonts w:ascii="Cambria" w:hAnsi="Cambria" w:eastAsia="Cambria" w:cs="Cambria"/>
          <w:i/>
          <w:sz w:val="20"/>
        </w:rPr>
        <w:t>Do not state that an entire population is conforming solely because a small sample passed. Record the sample basis when it is important to understanding the conclusion.</w:t>
      </w:r>
    </w:p>
    <w:p>
      <w:pPr>
        <w:pStyle w:val="Heading1"/>
        <w:keepNext/>
        <w:spacing w:before="140" w:after="60"/>
      </w:pPr>
      <w:r>
        <w:rPr>
          <w:rFonts w:ascii="Cambria" w:hAnsi="Cambria" w:eastAsia="Cambria" w:cs="Cambria"/>
          <w:b/>
          <w:color w:val="1F4E79"/>
          <w:sz w:val="24"/>
        </w:rPr>
        <w:t>6. Evaluating Evidence and Writing Findings</w:t>
      </w:r>
    </w:p>
    <w:p>
      <w:pPr>
        <w:spacing w:after="60" w:line="247" w:lineRule="auto"/>
      </w:pPr>
      <w:r>
        <w:rPr>
          <w:rFonts w:ascii="Cambria" w:hAnsi="Cambria" w:eastAsia="Cambria" w:cs="Cambria"/>
          <w:i w:val="0"/>
          <w:sz w:val="20"/>
        </w:rPr>
        <w:t>A defensible nonconformity should contain three elements: the audit criterion, the objective evidence, and the demonstrated gap between the two.</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26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Element</w:t>
            </w:r>
          </w:p>
        </w:tc>
        <w:tc>
          <w:tcPr>
            <w:tcW w:type="dxa" w:w="70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What to Record</w:t>
            </w:r>
          </w:p>
        </w:tc>
      </w:tr>
      <w:tr>
        <w:trPr>
          <w:cantSplit w:val="true"/>
        </w:trPr>
        <w:tc>
          <w:tcPr>
            <w:tcW w:type="dxa" w:w="2268"/>
            <w:tcMar>
              <w:top w:w="70" w:type="dxa"/>
              <w:left w:w="85" w:type="dxa"/>
              <w:bottom w:w="70" w:type="dxa"/>
              <w:right w:w="85" w:type="dxa"/>
            </w:tcMar>
            <w:vAlign w:val="top"/>
          </w:tcPr>
          <w:p>
            <w:pPr>
              <w:spacing w:after="0"/>
            </w:pPr>
            <w:r>
              <w:rPr>
                <w:rFonts w:ascii="Cambria" w:hAnsi="Cambria" w:eastAsia="Cambria" w:cs="Cambria"/>
                <w:sz w:val="16"/>
              </w:rPr>
              <w:t>Criterion</w:t>
            </w:r>
          </w:p>
        </w:tc>
        <w:tc>
          <w:tcPr>
            <w:tcW w:type="dxa" w:w="7087"/>
            <w:tcMar>
              <w:top w:w="70" w:type="dxa"/>
              <w:left w:w="85" w:type="dxa"/>
              <w:bottom w:w="70" w:type="dxa"/>
              <w:right w:w="85" w:type="dxa"/>
            </w:tcMar>
            <w:vAlign w:val="top"/>
          </w:tcPr>
          <w:p>
            <w:pPr>
              <w:spacing w:after="0"/>
            </w:pPr>
            <w:r>
              <w:rPr>
                <w:rFonts w:ascii="Cambria" w:hAnsi="Cambria" w:eastAsia="Cambria" w:cs="Cambria"/>
                <w:sz w:val="16"/>
              </w:rPr>
              <w:t>The applicable requirement, approved internal rule, process requirement, contractual requirement or other agreed audit criterion.</w:t>
            </w:r>
          </w:p>
        </w:tc>
      </w:tr>
      <w:tr>
        <w:trPr>
          <w:cantSplit w:val="true"/>
        </w:trPr>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6"/>
              </w:rPr>
              <w:t>Objective evidence</w:t>
            </w:r>
          </w:p>
        </w:tc>
        <w:tc>
          <w:tcPr>
            <w:tcW w:type="dxa" w:w="7087"/>
            <w:shd w:fill="FAFCFD" w:val="clear"/>
            <w:tcMar>
              <w:top w:w="70" w:type="dxa"/>
              <w:left w:w="85" w:type="dxa"/>
              <w:bottom w:w="70" w:type="dxa"/>
              <w:right w:w="85" w:type="dxa"/>
            </w:tcMar>
            <w:vAlign w:val="top"/>
          </w:tcPr>
          <w:p>
            <w:pPr>
              <w:spacing w:after="0"/>
            </w:pPr>
            <w:r>
              <w:rPr>
                <w:rFonts w:ascii="Cambria" w:hAnsi="Cambria" w:eastAsia="Cambria" w:cs="Cambria"/>
                <w:sz w:val="16"/>
              </w:rPr>
              <w:t>Specific records, observations, interviews or system data that can be verified. Include dates/IDs where useful.</w:t>
            </w:r>
          </w:p>
        </w:tc>
      </w:tr>
      <w:tr>
        <w:trPr>
          <w:cantSplit w:val="true"/>
        </w:trPr>
        <w:tc>
          <w:tcPr>
            <w:tcW w:type="dxa" w:w="2268"/>
            <w:tcMar>
              <w:top w:w="70" w:type="dxa"/>
              <w:left w:w="85" w:type="dxa"/>
              <w:bottom w:w="70" w:type="dxa"/>
              <w:right w:w="85" w:type="dxa"/>
            </w:tcMar>
            <w:vAlign w:val="top"/>
          </w:tcPr>
          <w:p>
            <w:pPr>
              <w:spacing w:after="0"/>
            </w:pPr>
            <w:r>
              <w:rPr>
                <w:rFonts w:ascii="Cambria" w:hAnsi="Cambria" w:eastAsia="Cambria" w:cs="Cambria"/>
                <w:sz w:val="16"/>
              </w:rPr>
              <w:t>Gap</w:t>
            </w:r>
          </w:p>
        </w:tc>
        <w:tc>
          <w:tcPr>
            <w:tcW w:type="dxa" w:w="7087"/>
            <w:tcMar>
              <w:top w:w="70" w:type="dxa"/>
              <w:left w:w="85" w:type="dxa"/>
              <w:bottom w:w="70" w:type="dxa"/>
              <w:right w:w="85" w:type="dxa"/>
            </w:tcMar>
            <w:vAlign w:val="top"/>
          </w:tcPr>
          <w:p>
            <w:pPr>
              <w:spacing w:after="0"/>
            </w:pPr>
            <w:r>
              <w:rPr>
                <w:rFonts w:ascii="Cambria" w:hAnsi="Cambria" w:eastAsia="Cambria" w:cs="Cambria"/>
                <w:sz w:val="16"/>
              </w:rPr>
              <w:t>A clear statement of what was not fulfilled. Keep it factual and avoid assigning blame.</w:t>
            </w:r>
          </w:p>
        </w:tc>
      </w:tr>
    </w:tbl>
    <w:p>
      <w:pPr>
        <w:spacing w:after="0"/>
      </w:pPr>
    </w:p>
    <w:p>
      <w:pPr>
        <w:pStyle w:val="Heading2"/>
        <w:keepNext/>
        <w:spacing w:before="100" w:after="60"/>
      </w:pPr>
      <w:r>
        <w:rPr>
          <w:rFonts w:ascii="Cambria" w:hAnsi="Cambria" w:eastAsia="Cambria" w:cs="Cambria"/>
          <w:b/>
          <w:color w:val="000000"/>
          <w:sz w:val="21"/>
        </w:rPr>
        <w:t>6.1 Finding Classification</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43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Classification</w:t>
            </w:r>
          </w:p>
        </w:tc>
        <w:tc>
          <w:tcPr>
            <w:tcW w:type="dxa" w:w="691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Practical Use</w:t>
            </w:r>
          </w:p>
        </w:tc>
      </w:tr>
      <w:tr>
        <w:trPr>
          <w:cantSplit w:val="true"/>
        </w:trPr>
        <w:tc>
          <w:tcPr>
            <w:tcW w:type="dxa" w:w="2438"/>
            <w:tcMar>
              <w:top w:w="70" w:type="dxa"/>
              <w:left w:w="85" w:type="dxa"/>
              <w:bottom w:w="70" w:type="dxa"/>
              <w:right w:w="85" w:type="dxa"/>
            </w:tcMar>
            <w:vAlign w:val="top"/>
          </w:tcPr>
          <w:p>
            <w:pPr>
              <w:spacing w:after="0"/>
            </w:pPr>
            <w:r>
              <w:rPr>
                <w:rFonts w:ascii="Cambria" w:hAnsi="Cambria" w:eastAsia="Cambria" w:cs="Cambria"/>
                <w:sz w:val="16"/>
              </w:rPr>
              <w:t>Conformity</w:t>
            </w:r>
          </w:p>
        </w:tc>
        <w:tc>
          <w:tcPr>
            <w:tcW w:type="dxa" w:w="6917"/>
            <w:tcMar>
              <w:top w:w="70" w:type="dxa"/>
              <w:left w:w="85" w:type="dxa"/>
              <w:bottom w:w="70" w:type="dxa"/>
              <w:right w:w="85" w:type="dxa"/>
            </w:tcMar>
            <w:vAlign w:val="top"/>
          </w:tcPr>
          <w:p>
            <w:pPr>
              <w:spacing w:after="0"/>
            </w:pPr>
            <w:r>
              <w:rPr>
                <w:rFonts w:ascii="Cambria" w:hAnsi="Cambria" w:eastAsia="Cambria" w:cs="Cambria"/>
                <w:sz w:val="16"/>
              </w:rPr>
              <w:t>Evidence supports that the applicable criterion is met.</w:t>
            </w:r>
          </w:p>
        </w:tc>
      </w:tr>
      <w:tr>
        <w:trPr>
          <w:cantSplit w:val="true"/>
        </w:trPr>
        <w:tc>
          <w:tcPr>
            <w:tcW w:type="dxa" w:w="2438"/>
            <w:shd w:fill="FAFCFD" w:val="clear"/>
            <w:tcMar>
              <w:top w:w="70" w:type="dxa"/>
              <w:left w:w="85" w:type="dxa"/>
              <w:bottom w:w="70" w:type="dxa"/>
              <w:right w:w="85" w:type="dxa"/>
            </w:tcMar>
            <w:vAlign w:val="top"/>
          </w:tcPr>
          <w:p>
            <w:pPr>
              <w:spacing w:after="0"/>
            </w:pPr>
            <w:r>
              <w:rPr>
                <w:rFonts w:ascii="Cambria" w:hAnsi="Cambria" w:eastAsia="Cambria" w:cs="Cambria"/>
                <w:sz w:val="16"/>
              </w:rPr>
              <w:t>Opportunity for Improvement (OFI)</w:t>
            </w:r>
          </w:p>
        </w:tc>
        <w:tc>
          <w:tcPr>
            <w:tcW w:type="dxa" w:w="6917"/>
            <w:shd w:fill="FAFCFD" w:val="clear"/>
            <w:tcMar>
              <w:top w:w="70" w:type="dxa"/>
              <w:left w:w="85" w:type="dxa"/>
              <w:bottom w:w="70" w:type="dxa"/>
              <w:right w:w="85" w:type="dxa"/>
            </w:tcMar>
            <w:vAlign w:val="top"/>
          </w:tcPr>
          <w:p>
            <w:pPr>
              <w:spacing w:after="0"/>
            </w:pPr>
            <w:r>
              <w:rPr>
                <w:rFonts w:ascii="Cambria" w:hAnsi="Cambria" w:eastAsia="Cambria" w:cs="Cambria"/>
                <w:sz w:val="16"/>
              </w:rPr>
              <w:t>No nonconformity is demonstrated, but a practical improvement or strengthening opportunity is identified.</w:t>
            </w:r>
          </w:p>
        </w:tc>
      </w:tr>
      <w:tr>
        <w:trPr>
          <w:cantSplit w:val="true"/>
        </w:trPr>
        <w:tc>
          <w:tcPr>
            <w:tcW w:type="dxa" w:w="2438"/>
            <w:tcMar>
              <w:top w:w="70" w:type="dxa"/>
              <w:left w:w="85" w:type="dxa"/>
              <w:bottom w:w="70" w:type="dxa"/>
              <w:right w:w="85" w:type="dxa"/>
            </w:tcMar>
            <w:vAlign w:val="top"/>
          </w:tcPr>
          <w:p>
            <w:pPr>
              <w:spacing w:after="0"/>
            </w:pPr>
            <w:r>
              <w:rPr>
                <w:rFonts w:ascii="Cambria" w:hAnsi="Cambria" w:eastAsia="Cambria" w:cs="Cambria"/>
                <w:sz w:val="16"/>
              </w:rPr>
              <w:t>Minor Nonconformity</w:t>
            </w:r>
          </w:p>
        </w:tc>
        <w:tc>
          <w:tcPr>
            <w:tcW w:type="dxa" w:w="6917"/>
            <w:tcMar>
              <w:top w:w="70" w:type="dxa"/>
              <w:left w:w="85" w:type="dxa"/>
              <w:bottom w:w="70" w:type="dxa"/>
              <w:right w:w="85" w:type="dxa"/>
            </w:tcMar>
            <w:vAlign w:val="top"/>
          </w:tcPr>
          <w:p>
            <w:pPr>
              <w:spacing w:after="0"/>
            </w:pPr>
            <w:r>
              <w:rPr>
                <w:rFonts w:ascii="Cambria" w:hAnsi="Cambria" w:eastAsia="Cambria" w:cs="Cambria"/>
                <w:sz w:val="16"/>
              </w:rPr>
              <w:t>A limited failure to meet a criterion is evidenced without indicating a broad/systemic breakdown.</w:t>
            </w:r>
          </w:p>
        </w:tc>
      </w:tr>
      <w:tr>
        <w:trPr>
          <w:cantSplit w:val="true"/>
        </w:trPr>
        <w:tc>
          <w:tcPr>
            <w:tcW w:type="dxa" w:w="2438"/>
            <w:shd w:fill="FAFCFD" w:val="clear"/>
            <w:tcMar>
              <w:top w:w="70" w:type="dxa"/>
              <w:left w:w="85" w:type="dxa"/>
              <w:bottom w:w="70" w:type="dxa"/>
              <w:right w:w="85" w:type="dxa"/>
            </w:tcMar>
            <w:vAlign w:val="top"/>
          </w:tcPr>
          <w:p>
            <w:pPr>
              <w:spacing w:after="0"/>
            </w:pPr>
            <w:r>
              <w:rPr>
                <w:rFonts w:ascii="Cambria" w:hAnsi="Cambria" w:eastAsia="Cambria" w:cs="Cambria"/>
                <w:sz w:val="16"/>
              </w:rPr>
              <w:t>Major Nonconformity</w:t>
            </w:r>
          </w:p>
        </w:tc>
        <w:tc>
          <w:tcPr>
            <w:tcW w:type="dxa" w:w="6917"/>
            <w:shd w:fill="FAFCFD" w:val="clear"/>
            <w:tcMar>
              <w:top w:w="70" w:type="dxa"/>
              <w:left w:w="85" w:type="dxa"/>
              <w:bottom w:w="70" w:type="dxa"/>
              <w:right w:w="85" w:type="dxa"/>
            </w:tcMar>
            <w:vAlign w:val="top"/>
          </w:tcPr>
          <w:p>
            <w:pPr>
              <w:spacing w:after="0"/>
            </w:pPr>
            <w:r>
              <w:rPr>
                <w:rFonts w:ascii="Cambria" w:hAnsi="Cambria" w:eastAsia="Cambria" w:cs="Cambria"/>
                <w:sz w:val="16"/>
              </w:rPr>
              <w:t>Evidence indicates a significant or systemic failure, repeated unresolved issue, absence of an essential control, or other condition that materially undermines QMS effectiveness or conformity.</w:t>
            </w:r>
          </w:p>
        </w:tc>
      </w:tr>
    </w:tbl>
    <w:p>
      <w:pPr>
        <w:spacing w:after="0"/>
      </w:pPr>
    </w:p>
    <w:p>
      <w:pPr>
        <w:pStyle w:val="Heading2"/>
        <w:keepNext/>
        <w:spacing w:before="100" w:after="60"/>
      </w:pPr>
      <w:r>
        <w:rPr>
          <w:rFonts w:ascii="Cambria" w:hAnsi="Cambria" w:eastAsia="Cambria" w:cs="Cambria"/>
          <w:b/>
          <w:color w:val="000000"/>
          <w:sz w:val="21"/>
        </w:rPr>
        <w:t>6.2 Strong vs Weak Finding Statements</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3288"/>
            <w:shd w:fill="EAF3F8"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Weak Statement</w:t>
            </w:r>
          </w:p>
        </w:tc>
        <w:tc>
          <w:tcPr>
            <w:tcW w:type="dxa" w:w="6066"/>
            <w:shd w:fill="EAF3F8"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Better Practice</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“Training records are poor.”</w:t>
            </w:r>
          </w:p>
        </w:tc>
        <w:tc>
          <w:tcPr>
            <w:tcW w:type="dxa" w:w="6066"/>
            <w:tcMar>
              <w:top w:w="70" w:type="dxa"/>
              <w:left w:w="85" w:type="dxa"/>
              <w:bottom w:w="70" w:type="dxa"/>
              <w:right w:w="85" w:type="dxa"/>
            </w:tcMar>
            <w:vAlign w:val="top"/>
          </w:tcPr>
          <w:p>
            <w:pPr>
              <w:spacing w:after="0"/>
            </w:pPr>
            <w:r>
              <w:rPr>
                <w:rFonts w:ascii="Cambria" w:hAnsi="Cambria" w:eastAsia="Cambria" w:cs="Cambria"/>
                <w:sz w:val="16"/>
              </w:rPr>
              <w:t>State the applicable competence/training criterion, identify the specific sampled records, and describe exactly what required evidence was missing.</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“The process is not controlled.”</w:t>
            </w:r>
          </w:p>
        </w:tc>
        <w:tc>
          <w:tcPr>
            <w:tcW w:type="dxa" w:w="6066"/>
            <w:shd w:fill="FAFCFD" w:val="clear"/>
            <w:tcMar>
              <w:top w:w="70" w:type="dxa"/>
              <w:left w:w="85" w:type="dxa"/>
              <w:bottom w:w="70" w:type="dxa"/>
              <w:right w:w="85" w:type="dxa"/>
            </w:tcMar>
            <w:vAlign w:val="top"/>
          </w:tcPr>
          <w:p>
            <w:pPr>
              <w:spacing w:after="0"/>
            </w:pPr>
            <w:r>
              <w:rPr>
                <w:rFonts w:ascii="Cambria" w:hAnsi="Cambria" w:eastAsia="Cambria" w:cs="Cambria"/>
                <w:sz w:val="16"/>
              </w:rPr>
              <w:t>Identify the control expected, the evidence sampled, and the observed failure or absence.</w:t>
            </w:r>
          </w:p>
        </w:tc>
      </w:tr>
      <w:tr>
        <w:trPr>
          <w:cantSplit w:val="true"/>
        </w:trPr>
        <w:tc>
          <w:tcPr>
            <w:tcW w:type="dxa" w:w="3288"/>
            <w:tcMar>
              <w:top w:w="70" w:type="dxa"/>
              <w:left w:w="85" w:type="dxa"/>
              <w:bottom w:w="70" w:type="dxa"/>
              <w:right w:w="85" w:type="dxa"/>
            </w:tcMar>
            <w:vAlign w:val="top"/>
          </w:tcPr>
          <w:p>
            <w:pPr>
              <w:spacing w:after="0"/>
            </w:pPr>
            <w:r>
              <w:rPr>
                <w:rFonts w:ascii="Cambria" w:hAnsi="Cambria" w:eastAsia="Cambria" w:cs="Cambria"/>
                <w:sz w:val="16"/>
              </w:rPr>
              <w:t>“Staff do not follow the procedure.”</w:t>
            </w:r>
          </w:p>
        </w:tc>
        <w:tc>
          <w:tcPr>
            <w:tcW w:type="dxa" w:w="6066"/>
            <w:tcMar>
              <w:top w:w="70" w:type="dxa"/>
              <w:left w:w="85" w:type="dxa"/>
              <w:bottom w:w="70" w:type="dxa"/>
              <w:right w:w="85" w:type="dxa"/>
            </w:tcMar>
            <w:vAlign w:val="top"/>
          </w:tcPr>
          <w:p>
            <w:pPr>
              <w:spacing w:after="0"/>
            </w:pPr>
            <w:r>
              <w:rPr>
                <w:rFonts w:ascii="Cambria" w:hAnsi="Cambria" w:eastAsia="Cambria" w:cs="Cambria"/>
                <w:sz w:val="16"/>
              </w:rPr>
              <w:t>Name the relevant procedure requirement and describe the observed or recorded deviation, including sample details.</w:t>
            </w:r>
          </w:p>
        </w:tc>
      </w:tr>
      <w:tr>
        <w:trPr>
          <w:cantSplit w:val="true"/>
        </w:trPr>
        <w:tc>
          <w:tcPr>
            <w:tcW w:type="dxa" w:w="3288"/>
            <w:shd w:fill="FAFCFD" w:val="clear"/>
            <w:tcMar>
              <w:top w:w="70" w:type="dxa"/>
              <w:left w:w="85" w:type="dxa"/>
              <w:bottom w:w="70" w:type="dxa"/>
              <w:right w:w="85" w:type="dxa"/>
            </w:tcMar>
            <w:vAlign w:val="top"/>
          </w:tcPr>
          <w:p>
            <w:pPr>
              <w:spacing w:after="0"/>
            </w:pPr>
            <w:r>
              <w:rPr>
                <w:rFonts w:ascii="Cambria" w:hAnsi="Cambria" w:eastAsia="Cambria" w:cs="Cambria"/>
                <w:sz w:val="16"/>
              </w:rPr>
              <w:t>“Management should improve communication.”</w:t>
            </w:r>
          </w:p>
        </w:tc>
        <w:tc>
          <w:tcPr>
            <w:tcW w:type="dxa" w:w="6066"/>
            <w:shd w:fill="FAFCFD" w:val="clear"/>
            <w:tcMar>
              <w:top w:w="70" w:type="dxa"/>
              <w:left w:w="85" w:type="dxa"/>
              <w:bottom w:w="70" w:type="dxa"/>
              <w:right w:w="85" w:type="dxa"/>
            </w:tcMar>
            <w:vAlign w:val="top"/>
          </w:tcPr>
          <w:p>
            <w:pPr>
              <w:spacing w:after="0"/>
            </w:pPr>
            <w:r>
              <w:rPr>
                <w:rFonts w:ascii="Cambria" w:hAnsi="Cambria" w:eastAsia="Cambria" w:cs="Cambria"/>
                <w:sz w:val="16"/>
              </w:rPr>
              <w:t>Use an OFI only when there is no demonstrated nonconformity; explain the observed opportunity and potential benefit without presenting preference as a requirement.</w:t>
            </w:r>
          </w:p>
        </w:tc>
      </w:tr>
    </w:tbl>
    <w:p>
      <w:pPr>
        <w:spacing w:after="0"/>
      </w:pPr>
    </w:p>
    <w:p>
      <w:pPr>
        <w:pStyle w:val="Heading1"/>
        <w:keepNext/>
        <w:spacing w:before="140" w:after="60"/>
      </w:pPr>
      <w:r>
        <w:rPr>
          <w:rFonts w:ascii="Cambria" w:hAnsi="Cambria" w:eastAsia="Cambria" w:cs="Cambria"/>
          <w:b/>
          <w:color w:val="1F4E79"/>
          <w:sz w:val="24"/>
        </w:rPr>
        <w:t>7. Closing Meeting and Reporting</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4649"/>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At Closing Meeting</w:t>
            </w:r>
          </w:p>
        </w:tc>
        <w:tc>
          <w:tcPr>
            <w:tcW w:type="dxa" w:w="4706"/>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In the Audit Report</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Present the overall conclusion and each finding clearly.</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State scope, criteria, dates, audit team and areas/processes audited.</w:t>
            </w:r>
          </w:p>
        </w:tc>
      </w:tr>
      <w:tr>
        <w:trPr>
          <w:cantSplit w:val="true"/>
        </w:trPr>
        <w:tc>
          <w:tcPr>
            <w:tcW w:type="dxa" w:w="4649"/>
            <w:shd w:fill="FAFCFD" w:val="clear"/>
            <w:tcMar>
              <w:top w:w="70" w:type="dxa"/>
              <w:left w:w="85" w:type="dxa"/>
              <w:bottom w:w="70" w:type="dxa"/>
              <w:right w:w="85" w:type="dxa"/>
            </w:tcMar>
            <w:vAlign w:val="top"/>
          </w:tcPr>
          <w:p>
            <w:pPr>
              <w:spacing w:after="0"/>
            </w:pPr>
            <w:r>
              <w:rPr>
                <w:rFonts w:ascii="Cambria" w:hAnsi="Cambria" w:eastAsia="Cambria" w:cs="Cambria"/>
                <w:sz w:val="16"/>
              </w:rPr>
              <w:t>Confirm factual accuracy; listen to evidence that may correct a factual error.</w:t>
            </w:r>
          </w:p>
        </w:tc>
        <w:tc>
          <w:tcPr>
            <w:tcW w:type="dxa" w:w="4706"/>
            <w:shd w:fill="FAFCFD" w:val="clear"/>
            <w:tcMar>
              <w:top w:w="70" w:type="dxa"/>
              <w:left w:w="85" w:type="dxa"/>
              <w:bottom w:w="70" w:type="dxa"/>
              <w:right w:w="85" w:type="dxa"/>
            </w:tcMar>
            <w:vAlign w:val="top"/>
          </w:tcPr>
          <w:p>
            <w:pPr>
              <w:spacing w:after="0"/>
            </w:pPr>
            <w:r>
              <w:rPr>
                <w:rFonts w:ascii="Cambria" w:hAnsi="Cambria" w:eastAsia="Cambria" w:cs="Cambria"/>
                <w:sz w:val="16"/>
              </w:rPr>
              <w:t>Summarize the overall audit conclusion without unsupported generalization.</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Do not negotiate away valid evidence-based findings.</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List findings with clear references and concise supporting evidence.</w:t>
            </w:r>
          </w:p>
        </w:tc>
      </w:tr>
      <w:tr>
        <w:trPr>
          <w:cantSplit w:val="true"/>
        </w:trPr>
        <w:tc>
          <w:tcPr>
            <w:tcW w:type="dxa" w:w="4649"/>
            <w:shd w:fill="FAFCFD" w:val="clear"/>
            <w:tcMar>
              <w:top w:w="70" w:type="dxa"/>
              <w:left w:w="85" w:type="dxa"/>
              <w:bottom w:w="70" w:type="dxa"/>
              <w:right w:w="85" w:type="dxa"/>
            </w:tcMar>
            <w:vAlign w:val="top"/>
          </w:tcPr>
          <w:p>
            <w:pPr>
              <w:spacing w:after="0"/>
            </w:pPr>
            <w:r>
              <w:rPr>
                <w:rFonts w:ascii="Cambria" w:hAnsi="Cambria" w:eastAsia="Cambria" w:cs="Cambria"/>
                <w:sz w:val="16"/>
              </w:rPr>
              <w:t>Record material disagreement if it cannot be resolved during the meeting.</w:t>
            </w:r>
          </w:p>
        </w:tc>
        <w:tc>
          <w:tcPr>
            <w:tcW w:type="dxa" w:w="4706"/>
            <w:shd w:fill="FAFCFD" w:val="clear"/>
            <w:tcMar>
              <w:top w:w="70" w:type="dxa"/>
              <w:left w:w="85" w:type="dxa"/>
              <w:bottom w:w="70" w:type="dxa"/>
              <w:right w:w="85" w:type="dxa"/>
            </w:tcMar>
            <w:vAlign w:val="top"/>
          </w:tcPr>
          <w:p>
            <w:pPr>
              <w:spacing w:after="0"/>
            </w:pPr>
            <w:r>
              <w:rPr>
                <w:rFonts w:ascii="Cambria" w:hAnsi="Cambria" w:eastAsia="Cambria" w:cs="Cambria"/>
                <w:sz w:val="16"/>
              </w:rPr>
              <w:t>Identify required follow-up, action owner/due date where established, and distribution.</w:t>
            </w:r>
          </w:p>
        </w:tc>
      </w:tr>
      <w:tr>
        <w:trPr>
          <w:cantSplit w:val="true"/>
        </w:trPr>
        <w:tc>
          <w:tcPr>
            <w:tcW w:type="dxa" w:w="4649"/>
            <w:tcMar>
              <w:top w:w="70" w:type="dxa"/>
              <w:left w:w="85" w:type="dxa"/>
              <w:bottom w:w="70" w:type="dxa"/>
              <w:right w:w="85" w:type="dxa"/>
            </w:tcMar>
            <w:vAlign w:val="top"/>
          </w:tcPr>
          <w:p>
            <w:pPr>
              <w:spacing w:after="0"/>
            </w:pPr>
            <w:r>
              <w:rPr>
                <w:rFonts w:ascii="Cambria" w:hAnsi="Cambria" w:eastAsia="Cambria" w:cs="Cambria"/>
                <w:sz w:val="16"/>
              </w:rPr>
              <w:t>Clarify expected corrective action and verification arrangements.</w:t>
            </w:r>
          </w:p>
        </w:tc>
        <w:tc>
          <w:tcPr>
            <w:tcW w:type="dxa" w:w="4706"/>
            <w:tcMar>
              <w:top w:w="70" w:type="dxa"/>
              <w:left w:w="85" w:type="dxa"/>
              <w:bottom w:w="70" w:type="dxa"/>
              <w:right w:w="85" w:type="dxa"/>
            </w:tcMar>
            <w:vAlign w:val="top"/>
          </w:tcPr>
          <w:p>
            <w:pPr>
              <w:spacing w:after="0"/>
            </w:pPr>
            <w:r>
              <w:rPr>
                <w:rFonts w:ascii="Cambria" w:hAnsi="Cambria" w:eastAsia="Cambria" w:cs="Cambria"/>
                <w:sz w:val="16"/>
              </w:rPr>
              <w:t>Avoid unnecessary narrative; make the report easy to act on.</w:t>
            </w:r>
          </w:p>
        </w:tc>
      </w:tr>
    </w:tbl>
    <w:p>
      <w:pPr>
        <w:spacing w:after="0"/>
      </w:pPr>
    </w:p>
    <w:p>
      <w:pPr>
        <w:pStyle w:val="Heading1"/>
        <w:keepNext/>
        <w:spacing w:before="140" w:after="60"/>
      </w:pPr>
      <w:r>
        <w:rPr>
          <w:rFonts w:ascii="Cambria" w:hAnsi="Cambria" w:eastAsia="Cambria" w:cs="Cambria"/>
          <w:b/>
          <w:color w:val="1F4E79"/>
          <w:sz w:val="24"/>
        </w:rPr>
        <w:t>8. Follow-up and Closure</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238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Step</w:t>
            </w:r>
          </w:p>
        </w:tc>
        <w:tc>
          <w:tcPr>
            <w:tcW w:type="dxa" w:w="6973"/>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Guidance</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6"/>
              </w:rPr>
              <w:t>Correction / containment</w:t>
            </w:r>
          </w:p>
        </w:tc>
        <w:tc>
          <w:tcPr>
            <w:tcW w:type="dxa" w:w="6973"/>
            <w:tcMar>
              <w:top w:w="70" w:type="dxa"/>
              <w:left w:w="85" w:type="dxa"/>
              <w:bottom w:w="70" w:type="dxa"/>
              <w:right w:w="85" w:type="dxa"/>
            </w:tcMar>
            <w:vAlign w:val="top"/>
          </w:tcPr>
          <w:p>
            <w:pPr>
              <w:spacing w:after="0"/>
            </w:pPr>
            <w:r>
              <w:rPr>
                <w:rFonts w:ascii="Cambria" w:hAnsi="Cambria" w:eastAsia="Cambria" w:cs="Cambria"/>
                <w:sz w:val="16"/>
              </w:rPr>
              <w:t>Where needed, address the immediate issue promptly so the problem does not continue while longer-term action is developed.</w:t>
            </w:r>
          </w:p>
        </w:tc>
      </w:tr>
      <w:tr>
        <w:trPr>
          <w:cantSplit w:val="true"/>
        </w:trPr>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Cause and corrective action</w:t>
            </w:r>
          </w:p>
        </w:tc>
        <w:tc>
          <w:tcPr>
            <w:tcW w:type="dxa" w:w="6973"/>
            <w:shd w:fill="FAFCFD" w:val="clear"/>
            <w:tcMar>
              <w:top w:w="70" w:type="dxa"/>
              <w:left w:w="85" w:type="dxa"/>
              <w:bottom w:w="70" w:type="dxa"/>
              <w:right w:w="85" w:type="dxa"/>
            </w:tcMar>
            <w:vAlign w:val="top"/>
          </w:tcPr>
          <w:p>
            <w:pPr>
              <w:spacing w:after="0"/>
            </w:pPr>
            <w:r>
              <w:rPr>
                <w:rFonts w:ascii="Cambria" w:hAnsi="Cambria" w:eastAsia="Cambria" w:cs="Cambria"/>
                <w:sz w:val="16"/>
              </w:rPr>
              <w:t>For nonconformities requiring corrective action, address the cause rather than only the visible symptom.</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6"/>
              </w:rPr>
              <w:t>Evidence of completion</w:t>
            </w:r>
          </w:p>
        </w:tc>
        <w:tc>
          <w:tcPr>
            <w:tcW w:type="dxa" w:w="6973"/>
            <w:tcMar>
              <w:top w:w="70" w:type="dxa"/>
              <w:left w:w="85" w:type="dxa"/>
              <w:bottom w:w="70" w:type="dxa"/>
              <w:right w:w="85" w:type="dxa"/>
            </w:tcMar>
            <w:vAlign w:val="top"/>
          </w:tcPr>
          <w:p>
            <w:pPr>
              <w:spacing w:after="0"/>
            </w:pPr>
            <w:r>
              <w:rPr>
                <w:rFonts w:ascii="Cambria" w:hAnsi="Cambria" w:eastAsia="Cambria" w:cs="Cambria"/>
                <w:sz w:val="16"/>
              </w:rPr>
              <w:t>Obtain records, revised controls, training evidence, system changes, verification results or other evidence showing the action was implemented.</w:t>
            </w:r>
          </w:p>
        </w:tc>
      </w:tr>
      <w:tr>
        <w:trPr>
          <w:cantSplit w:val="true"/>
        </w:trPr>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6"/>
              </w:rPr>
              <w:t>Effectiveness verification</w:t>
            </w:r>
          </w:p>
        </w:tc>
        <w:tc>
          <w:tcPr>
            <w:tcW w:type="dxa" w:w="6973"/>
            <w:shd w:fill="FAFCFD" w:val="clear"/>
            <w:tcMar>
              <w:top w:w="70" w:type="dxa"/>
              <w:left w:w="85" w:type="dxa"/>
              <w:bottom w:w="70" w:type="dxa"/>
              <w:right w:w="85" w:type="dxa"/>
            </w:tcMar>
            <w:vAlign w:val="top"/>
          </w:tcPr>
          <w:p>
            <w:pPr>
              <w:spacing w:after="0"/>
            </w:pPr>
            <w:r>
              <w:rPr>
                <w:rFonts w:ascii="Cambria" w:hAnsi="Cambria" w:eastAsia="Cambria" w:cs="Cambria"/>
                <w:sz w:val="16"/>
              </w:rPr>
              <w:t>Check whether the action actually prevented recurrence or achieved the intended control. Verification depth should reflect the significance of the finding.</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6"/>
              </w:rPr>
              <w:t>Closure</w:t>
            </w:r>
          </w:p>
        </w:tc>
        <w:tc>
          <w:tcPr>
            <w:tcW w:type="dxa" w:w="6973"/>
            <w:tcMar>
              <w:top w:w="70" w:type="dxa"/>
              <w:left w:w="85" w:type="dxa"/>
              <w:bottom w:w="70" w:type="dxa"/>
              <w:right w:w="85" w:type="dxa"/>
            </w:tcMar>
            <w:vAlign w:val="top"/>
          </w:tcPr>
          <w:p>
            <w:pPr>
              <w:spacing w:after="0"/>
            </w:pPr>
            <w:r>
              <w:rPr>
                <w:rFonts w:ascii="Cambria" w:hAnsi="Cambria" w:eastAsia="Cambria" w:cs="Cambria"/>
                <w:sz w:val="16"/>
              </w:rPr>
              <w:t>Close only when evidence is sufficient. If risk remains or action is ineffective, keep the finding open, revise the action or escalate.</w:t>
            </w:r>
          </w:p>
        </w:tc>
      </w:tr>
    </w:tbl>
    <w:p>
      <w:pPr>
        <w:spacing w:after="0"/>
      </w:pPr>
    </w:p>
    <w:p>
      <w:pPr>
        <w:pStyle w:val="Heading1"/>
        <w:keepNext/>
        <w:spacing w:before="140" w:after="60"/>
      </w:pPr>
      <w:r>
        <w:rPr>
          <w:rFonts w:ascii="Cambria" w:hAnsi="Cambria" w:eastAsia="Cambria" w:cs="Cambria"/>
          <w:b/>
          <w:color w:val="1F4E79"/>
          <w:sz w:val="24"/>
        </w:rPr>
        <w:t>9. Common Audit Mistakes to Avoid</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4677"/>
        <w:gridCol w:w="4677"/>
      </w:tblGrid>
      <w:tr>
        <w:trPr>
          <w:cantSplit w:val="true"/>
          <w:tblHeader w:val="true"/>
        </w:trPr>
        <w:tc>
          <w:tcPr>
            <w:tcW w:type="dxa" w:w="4195"/>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Avoid</w:t>
            </w:r>
          </w:p>
        </w:tc>
        <w:tc>
          <w:tcPr>
            <w:tcW w:type="dxa" w:w="5159"/>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Use Instead</w:t>
            </w:r>
          </w:p>
        </w:tc>
      </w:tr>
      <w:tr>
        <w:trPr>
          <w:cantSplit w:val="true"/>
        </w:trPr>
        <w:tc>
          <w:tcPr>
            <w:tcW w:type="dxa" w:w="4195"/>
            <w:tcMar>
              <w:top w:w="70" w:type="dxa"/>
              <w:left w:w="85" w:type="dxa"/>
              <w:bottom w:w="70" w:type="dxa"/>
              <w:right w:w="85" w:type="dxa"/>
            </w:tcMar>
            <w:vAlign w:val="top"/>
          </w:tcPr>
          <w:p>
            <w:pPr>
              <w:spacing w:after="0"/>
            </w:pPr>
            <w:r>
              <w:rPr>
                <w:rFonts w:ascii="Cambria" w:hAnsi="Cambria" w:eastAsia="Cambria" w:cs="Cambria"/>
                <w:sz w:val="16"/>
              </w:rPr>
              <w:t>Reading the checklist question-by-question without following the process.</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Follow the process flow and use the checklist only as a coverage aid.</w:t>
            </w:r>
          </w:p>
        </w:tc>
      </w:tr>
      <w:tr>
        <w:trPr>
          <w:cantSplit w:val="true"/>
        </w:trPr>
        <w:tc>
          <w:tcPr>
            <w:tcW w:type="dxa" w:w="4195"/>
            <w:shd w:fill="FAFCFD" w:val="clear"/>
            <w:tcMar>
              <w:top w:w="70" w:type="dxa"/>
              <w:left w:w="85" w:type="dxa"/>
              <w:bottom w:w="70" w:type="dxa"/>
              <w:right w:w="85" w:type="dxa"/>
            </w:tcMar>
            <w:vAlign w:val="top"/>
          </w:tcPr>
          <w:p>
            <w:pPr>
              <w:spacing w:after="0"/>
            </w:pPr>
            <w:r>
              <w:rPr>
                <w:rFonts w:ascii="Cambria" w:hAnsi="Cambria" w:eastAsia="Cambria" w:cs="Cambria"/>
                <w:sz w:val="16"/>
              </w:rPr>
              <w:t>Accepting verbal assurance as sufficient evidence.</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Ask for records, observation or other corroborating evidence.</w:t>
            </w:r>
          </w:p>
        </w:tc>
      </w:tr>
      <w:tr>
        <w:trPr>
          <w:cantSplit w:val="true"/>
        </w:trPr>
        <w:tc>
          <w:tcPr>
            <w:tcW w:type="dxa" w:w="4195"/>
            <w:tcMar>
              <w:top w:w="70" w:type="dxa"/>
              <w:left w:w="85" w:type="dxa"/>
              <w:bottom w:w="70" w:type="dxa"/>
              <w:right w:w="85" w:type="dxa"/>
            </w:tcMar>
            <w:vAlign w:val="top"/>
          </w:tcPr>
          <w:p>
            <w:pPr>
              <w:spacing w:after="0"/>
            </w:pPr>
            <w:r>
              <w:rPr>
                <w:rFonts w:ascii="Cambria" w:hAnsi="Cambria" w:eastAsia="Cambria" w:cs="Cambria"/>
                <w:sz w:val="16"/>
              </w:rPr>
              <w:t>Auditing only documents.</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Verify implementation and effectiveness in actual practice.</w:t>
            </w:r>
          </w:p>
        </w:tc>
      </w:tr>
      <w:tr>
        <w:trPr>
          <w:cantSplit w:val="true"/>
        </w:trPr>
        <w:tc>
          <w:tcPr>
            <w:tcW w:type="dxa" w:w="4195"/>
            <w:shd w:fill="FAFCFD" w:val="clear"/>
            <w:tcMar>
              <w:top w:w="70" w:type="dxa"/>
              <w:left w:w="85" w:type="dxa"/>
              <w:bottom w:w="70" w:type="dxa"/>
              <w:right w:w="85" w:type="dxa"/>
            </w:tcMar>
            <w:vAlign w:val="top"/>
          </w:tcPr>
          <w:p>
            <w:pPr>
              <w:spacing w:after="0"/>
            </w:pPr>
            <w:r>
              <w:rPr>
                <w:rFonts w:ascii="Cambria" w:hAnsi="Cambria" w:eastAsia="Cambria" w:cs="Cambria"/>
                <w:sz w:val="16"/>
              </w:rPr>
              <w:t>Arguing with the auditee.</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Stay factual, ask for evidence and record unresolved disagreements professionally.</w:t>
            </w:r>
          </w:p>
        </w:tc>
      </w:tr>
      <w:tr>
        <w:trPr>
          <w:cantSplit w:val="true"/>
        </w:trPr>
        <w:tc>
          <w:tcPr>
            <w:tcW w:type="dxa" w:w="4195"/>
            <w:tcMar>
              <w:top w:w="70" w:type="dxa"/>
              <w:left w:w="85" w:type="dxa"/>
              <w:bottom w:w="70" w:type="dxa"/>
              <w:right w:w="85" w:type="dxa"/>
            </w:tcMar>
            <w:vAlign w:val="top"/>
          </w:tcPr>
          <w:p>
            <w:pPr>
              <w:spacing w:after="0"/>
            </w:pPr>
            <w:r>
              <w:rPr>
                <w:rFonts w:ascii="Cambria" w:hAnsi="Cambria" w:eastAsia="Cambria" w:cs="Cambria"/>
                <w:sz w:val="16"/>
              </w:rPr>
              <w:t>Writing vague findings.</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Use criterion + objective evidence + gap.</w:t>
            </w:r>
          </w:p>
        </w:tc>
      </w:tr>
      <w:tr>
        <w:trPr>
          <w:cantSplit w:val="true"/>
        </w:trPr>
        <w:tc>
          <w:tcPr>
            <w:tcW w:type="dxa" w:w="4195"/>
            <w:shd w:fill="FAFCFD" w:val="clear"/>
            <w:tcMar>
              <w:top w:w="70" w:type="dxa"/>
              <w:left w:w="85" w:type="dxa"/>
              <w:bottom w:w="70" w:type="dxa"/>
              <w:right w:w="85" w:type="dxa"/>
            </w:tcMar>
            <w:vAlign w:val="top"/>
          </w:tcPr>
          <w:p>
            <w:pPr>
              <w:spacing w:after="0"/>
            </w:pPr>
            <w:r>
              <w:rPr>
                <w:rFonts w:ascii="Cambria" w:hAnsi="Cambria" w:eastAsia="Cambria" w:cs="Cambria"/>
                <w:sz w:val="16"/>
              </w:rPr>
              <w:t>Giving consulting instructions during the audit.</w:t>
            </w:r>
          </w:p>
        </w:tc>
        <w:tc>
          <w:tcPr>
            <w:tcW w:type="dxa" w:w="5159"/>
            <w:shd w:fill="FAFCFD" w:val="clear"/>
            <w:tcMar>
              <w:top w:w="70" w:type="dxa"/>
              <w:left w:w="85" w:type="dxa"/>
              <w:bottom w:w="70" w:type="dxa"/>
              <w:right w:w="85" w:type="dxa"/>
            </w:tcMar>
            <w:vAlign w:val="top"/>
          </w:tcPr>
          <w:p>
            <w:pPr>
              <w:spacing w:after="0"/>
            </w:pPr>
            <w:r>
              <w:rPr>
                <w:rFonts w:ascii="Cambria" w:hAnsi="Cambria" w:eastAsia="Cambria" w:cs="Cambria"/>
                <w:sz w:val="16"/>
              </w:rPr>
              <w:t>Explain the issue and required outcome; let the process owner determine the appropriate solution unless guidance is formally requested outside the audit role.</w:t>
            </w:r>
          </w:p>
        </w:tc>
      </w:tr>
      <w:tr>
        <w:trPr>
          <w:cantSplit w:val="true"/>
        </w:trPr>
        <w:tc>
          <w:tcPr>
            <w:tcW w:type="dxa" w:w="4195"/>
            <w:tcMar>
              <w:top w:w="70" w:type="dxa"/>
              <w:left w:w="85" w:type="dxa"/>
              <w:bottom w:w="70" w:type="dxa"/>
              <w:right w:w="85" w:type="dxa"/>
            </w:tcMar>
            <w:vAlign w:val="top"/>
          </w:tcPr>
          <w:p>
            <w:pPr>
              <w:spacing w:after="0"/>
            </w:pPr>
            <w:r>
              <w:rPr>
                <w:rFonts w:ascii="Cambria" w:hAnsi="Cambria" w:eastAsia="Cambria" w:cs="Cambria"/>
                <w:sz w:val="16"/>
              </w:rPr>
              <w:t>Closing actions because a document was updated.</w:t>
            </w:r>
          </w:p>
        </w:tc>
        <w:tc>
          <w:tcPr>
            <w:tcW w:type="dxa" w:w="5159"/>
            <w:tcMar>
              <w:top w:w="70" w:type="dxa"/>
              <w:left w:w="85" w:type="dxa"/>
              <w:bottom w:w="70" w:type="dxa"/>
              <w:right w:w="85" w:type="dxa"/>
            </w:tcMar>
            <w:vAlign w:val="top"/>
          </w:tcPr>
          <w:p>
            <w:pPr>
              <w:spacing w:after="0"/>
            </w:pPr>
            <w:r>
              <w:rPr>
                <w:rFonts w:ascii="Cambria" w:hAnsi="Cambria" w:eastAsia="Cambria" w:cs="Cambria"/>
                <w:sz w:val="16"/>
              </w:rPr>
              <w:t>Verify implementation and, where appropriate, effectiveness.</w:t>
            </w:r>
          </w:p>
        </w:tc>
      </w:tr>
    </w:tbl>
    <w:p>
      <w:pPr>
        <w:spacing w:after="0"/>
      </w:pPr>
    </w:p>
    <w:p>
      <w:pPr>
        <w:pStyle w:val="Heading1"/>
        <w:keepNext/>
        <w:spacing w:before="140" w:after="60"/>
      </w:pPr>
      <w:r>
        <w:rPr>
          <w:rFonts w:ascii="Cambria" w:hAnsi="Cambria" w:eastAsia="Cambria" w:cs="Cambria"/>
          <w:b/>
          <w:color w:val="1F4E79"/>
          <w:sz w:val="24"/>
        </w:rPr>
        <w:t>10. Auditor Quick Reference Checklist</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3118"/>
            <w:shd w:fill="E2F0D9"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Before</w:t>
            </w:r>
          </w:p>
        </w:tc>
        <w:tc>
          <w:tcPr>
            <w:tcW w:type="dxa" w:w="3118"/>
            <w:shd w:fill="E2F0D9"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During</w:t>
            </w:r>
          </w:p>
        </w:tc>
        <w:tc>
          <w:tcPr>
            <w:tcW w:type="dxa" w:w="3118"/>
            <w:shd w:fill="E2F0D9" w:val="clear"/>
            <w:tcMar>
              <w:top w:w="70" w:type="dxa"/>
              <w:left w:w="85" w:type="dxa"/>
              <w:bottom w:w="70" w:type="dxa"/>
              <w:right w:w="85" w:type="dxa"/>
            </w:tcMar>
            <w:vAlign w:val="center"/>
          </w:tcPr>
          <w:p>
            <w:pPr>
              <w:spacing w:after="0"/>
              <w:jc w:val="center"/>
            </w:pPr>
            <w:r>
              <w:rPr>
                <w:rFonts w:ascii="Cambria" w:hAnsi="Cambria" w:eastAsia="Cambria" w:cs="Cambria"/>
                <w:b/>
                <w:color w:val="000000"/>
                <w:sz w:val="16"/>
              </w:rPr>
              <w:t>After</w:t>
            </w:r>
          </w:p>
        </w:tc>
      </w:tr>
      <w:tr>
        <w:trPr>
          <w:cantSplit w:val="true"/>
        </w:trPr>
        <w:tc>
          <w:tcPr>
            <w:tcW w:type="dxa" w:w="3118"/>
            <w:tcMar>
              <w:top w:w="70" w:type="dxa"/>
              <w:left w:w="85" w:type="dxa"/>
              <w:bottom w:w="70" w:type="dxa"/>
              <w:right w:w="85" w:type="dxa"/>
            </w:tcMar>
            <w:vAlign w:val="top"/>
          </w:tcPr>
          <w:p>
            <w:pPr>
              <w:spacing w:after="0"/>
            </w:pPr>
            <w:r>
              <w:rPr>
                <w:rFonts w:ascii="Cambria" w:hAnsi="Cambria" w:eastAsia="Cambria" w:cs="Cambria"/>
                <w:sz w:val="16"/>
              </w:rPr>
              <w:t>[ ] Objective / scope / criteria confirmed</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Opening meeting completed</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Findings fact-checked</w:t>
            </w:r>
          </w:p>
        </w:tc>
      </w:tr>
      <w:tr>
        <w:trPr>
          <w:cantSplit w:val="true"/>
        </w:trPr>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Previous findings reviewed</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Evidence traced and sampled</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Closing meeting completed</w:t>
            </w:r>
          </w:p>
        </w:tc>
      </w:tr>
      <w:tr>
        <w:trPr>
          <w:cantSplit w:val="true"/>
        </w:trPr>
        <w:tc>
          <w:tcPr>
            <w:tcW w:type="dxa" w:w="3118"/>
            <w:tcMar>
              <w:top w:w="70" w:type="dxa"/>
              <w:left w:w="85" w:type="dxa"/>
              <w:bottom w:w="70" w:type="dxa"/>
              <w:right w:w="85" w:type="dxa"/>
            </w:tcMar>
            <w:vAlign w:val="top"/>
          </w:tcPr>
          <w:p>
            <w:pPr>
              <w:spacing w:after="0"/>
            </w:pPr>
            <w:r>
              <w:rPr>
                <w:rFonts w:ascii="Cambria" w:hAnsi="Cambria" w:eastAsia="Cambria" w:cs="Cambria"/>
                <w:sz w:val="16"/>
              </w:rPr>
              <w:t>[ ] Key changes / risks reviewed</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Interviews corroborated</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Report issued</w:t>
            </w:r>
          </w:p>
        </w:tc>
      </w:tr>
      <w:tr>
        <w:trPr>
          <w:cantSplit w:val="true"/>
        </w:trPr>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Audit trail prepared</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Findings based on evidence</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6"/>
              </w:rPr>
              <w:t>[ ] Actions tracked</w:t>
            </w:r>
          </w:p>
        </w:tc>
      </w:tr>
      <w:tr>
        <w:trPr>
          <w:cantSplit w:val="true"/>
        </w:trPr>
        <w:tc>
          <w:tcPr>
            <w:tcW w:type="dxa" w:w="3118"/>
            <w:tcMar>
              <w:top w:w="70" w:type="dxa"/>
              <w:left w:w="85" w:type="dxa"/>
              <w:bottom w:w="70" w:type="dxa"/>
              <w:right w:w="85" w:type="dxa"/>
            </w:tcMar>
            <w:vAlign w:val="top"/>
          </w:tcPr>
          <w:p>
            <w:pPr>
              <w:spacing w:after="0"/>
            </w:pPr>
            <w:r>
              <w:rPr>
                <w:rFonts w:ascii="Cambria" w:hAnsi="Cambria" w:eastAsia="Cambria" w:cs="Cambria"/>
                <w:sz w:val="16"/>
              </w:rPr>
              <w:t>[ ] Independence confirmed</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Notes identify sources/samples</w:t>
            </w:r>
          </w:p>
        </w:tc>
        <w:tc>
          <w:tcPr>
            <w:tcW w:type="dxa" w:w="3118"/>
            <w:tcMar>
              <w:top w:w="70" w:type="dxa"/>
              <w:left w:w="85" w:type="dxa"/>
              <w:bottom w:w="70" w:type="dxa"/>
              <w:right w:w="85" w:type="dxa"/>
            </w:tcMar>
            <w:vAlign w:val="top"/>
          </w:tcPr>
          <w:p>
            <w:pPr>
              <w:spacing w:after="0"/>
            </w:pPr>
            <w:r>
              <w:rPr>
                <w:rFonts w:ascii="Cambria" w:hAnsi="Cambria" w:eastAsia="Cambria" w:cs="Cambria"/>
                <w:sz w:val="16"/>
              </w:rPr>
              <w:t>[ ] Effectiveness verified before closure</w:t>
            </w:r>
          </w:p>
        </w:tc>
      </w:tr>
    </w:tbl>
    <w:p>
      <w:pPr>
        <w:spacing w:after="0"/>
      </w:pPr>
    </w:p>
    <w:p>
      <w:pPr>
        <w:pStyle w:val="Heading1"/>
        <w:keepNext/>
        <w:spacing w:before="140" w:after="60"/>
      </w:pPr>
      <w:r>
        <w:rPr>
          <w:rFonts w:ascii="Cambria" w:hAnsi="Cambria" w:eastAsia="Cambria" w:cs="Cambria"/>
          <w:b/>
          <w:color w:val="1F4E79"/>
          <w:sz w:val="24"/>
        </w:rPr>
        <w:t>11. Related Documents</w:t>
      </w:r>
    </w:p>
    <w:p>
      <w:pPr>
        <w:pStyle w:val="ListBullet"/>
        <w:spacing w:after="30"/>
        <w:ind w:left="340" w:hanging="170"/>
      </w:pPr>
      <w:r>
        <w:rPr>
          <w:rFonts w:ascii="Cambria" w:hAnsi="Cambria" w:eastAsia="Cambria" w:cs="Cambria"/>
          <w:sz w:val="19"/>
        </w:rPr>
        <w:t>Internal Audit Procedure.</w:t>
      </w:r>
    </w:p>
    <w:p>
      <w:pPr>
        <w:pStyle w:val="ListBullet"/>
        <w:spacing w:after="30"/>
        <w:ind w:left="340" w:hanging="170"/>
      </w:pPr>
      <w:r>
        <w:rPr>
          <w:rFonts w:ascii="Cambria" w:hAnsi="Cambria" w:eastAsia="Cambria" w:cs="Cambria"/>
          <w:sz w:val="19"/>
        </w:rPr>
        <w:t>Internal Audit Report.</w:t>
      </w:r>
    </w:p>
    <w:p>
      <w:pPr>
        <w:pStyle w:val="ListBullet"/>
        <w:spacing w:after="30"/>
        <w:ind w:left="340" w:hanging="170"/>
      </w:pPr>
      <w:r>
        <w:rPr>
          <w:rFonts w:ascii="Cambria" w:hAnsi="Cambria" w:eastAsia="Cambria" w:cs="Cambria"/>
          <w:sz w:val="19"/>
        </w:rPr>
        <w:t>Internal Audit Checklist or equivalent working notes.</w:t>
      </w:r>
    </w:p>
    <w:p>
      <w:pPr>
        <w:pStyle w:val="ListBullet"/>
        <w:spacing w:after="30"/>
        <w:ind w:left="340" w:hanging="170"/>
      </w:pPr>
      <w:r>
        <w:rPr>
          <w:rFonts w:ascii="Cambria" w:hAnsi="Cambria" w:eastAsia="Cambria" w:cs="Cambria"/>
          <w:sz w:val="19"/>
        </w:rPr>
        <w:t>Corrective Action Request Form.</w:t>
      </w:r>
    </w:p>
    <w:p>
      <w:pPr>
        <w:pStyle w:val="ListBullet"/>
        <w:spacing w:after="30"/>
        <w:ind w:left="340" w:hanging="170"/>
      </w:pPr>
      <w:r>
        <w:rPr>
          <w:rFonts w:ascii="Cambria" w:hAnsi="Cambria" w:eastAsia="Cambria" w:cs="Cambria"/>
          <w:sz w:val="19"/>
        </w:rPr>
        <w:t>Quality Manual and applicable process documentation.</w:t>
      </w:r>
    </w:p>
    <w:p>
      <w:pPr>
        <w:pStyle w:val="Heading1"/>
        <w:keepNext/>
        <w:spacing w:before="140" w:after="60"/>
      </w:pPr>
      <w:r>
        <w:rPr>
          <w:rFonts w:ascii="Cambria" w:hAnsi="Cambria" w:eastAsia="Cambria" w:cs="Cambria"/>
          <w:b/>
          <w:color w:val="1F4E79"/>
          <w:sz w:val="24"/>
        </w:rPr>
        <w:t>12. Approval and Revision</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2339"/>
        <w:gridCol w:w="2339"/>
        <w:gridCol w:w="2339"/>
        <w:gridCol w:w="2339"/>
      </w:tblGrid>
      <w:tr>
        <w:trPr>
          <w:cantSplit w:val="true"/>
          <w:tblHeader w:val="true"/>
        </w:trPr>
        <w:tc>
          <w:tcPr>
            <w:tcW w:type="dxa" w:w="2381"/>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Role</w:t>
            </w:r>
          </w:p>
        </w:tc>
        <w:tc>
          <w:tcPr>
            <w:tcW w:type="dxa" w:w="311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Name / Position</w:t>
            </w:r>
          </w:p>
        </w:tc>
        <w:tc>
          <w:tcPr>
            <w:tcW w:type="dxa" w:w="2268"/>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Approval / Signature</w:t>
            </w:r>
          </w:p>
        </w:tc>
        <w:tc>
          <w:tcPr>
            <w:tcW w:type="dxa" w:w="15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Date</w:t>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7"/>
              </w:rPr>
              <w:t>Prepared / Maintained by</w:t>
            </w:r>
          </w:p>
        </w:tc>
        <w:tc>
          <w:tcPr>
            <w:tcW w:type="dxa" w:w="3118"/>
            <w:tcMar>
              <w:top w:w="70" w:type="dxa"/>
              <w:left w:w="85" w:type="dxa"/>
              <w:bottom w:w="70" w:type="dxa"/>
              <w:right w:w="85" w:type="dxa"/>
            </w:tcMar>
            <w:vAlign w:val="top"/>
          </w:tcPr>
          <w:p>
            <w:pPr>
              <w:spacing w:after="0"/>
            </w:pPr>
            <w:r>
              <w:rPr>
                <w:rFonts w:ascii="Cambria" w:hAnsi="Cambria" w:eastAsia="Cambria" w:cs="Cambria"/>
                <w:sz w:val="17"/>
              </w:rPr>
              <w:t>Quality Manager</w:t>
            </w:r>
          </w:p>
        </w:tc>
        <w:tc>
          <w:tcPr>
            <w:tcW w:type="dxa" w:w="2268"/>
            <w:tcMar>
              <w:top w:w="70" w:type="dxa"/>
              <w:left w:w="85" w:type="dxa"/>
              <w:bottom w:w="70" w:type="dxa"/>
              <w:right w:w="85" w:type="dxa"/>
            </w:tcMar>
            <w:vAlign w:val="top"/>
          </w:tcPr>
          <w:p>
            <w:pPr>
              <w:spacing w:after="0"/>
            </w:pPr>
            <w:r>
              <w:rPr>
                <w:rFonts w:ascii="Cambria" w:hAnsi="Cambria" w:eastAsia="Cambria" w:cs="Cambria"/>
                <w:sz w:val="17"/>
              </w:rPr>
            </w:r>
          </w:p>
        </w:tc>
        <w:tc>
          <w:tcPr>
            <w:tcW w:type="dxa" w:w="1587"/>
            <w:tcMar>
              <w:top w:w="70" w:type="dxa"/>
              <w:left w:w="85" w:type="dxa"/>
              <w:bottom w:w="70" w:type="dxa"/>
              <w:right w:w="85" w:type="dxa"/>
            </w:tcMar>
            <w:vAlign w:val="top"/>
          </w:tcPr>
          <w:p>
            <w:pPr>
              <w:spacing w:after="0"/>
            </w:pPr>
            <w:r>
              <w:rPr>
                <w:rFonts w:ascii="Cambria" w:hAnsi="Cambria" w:eastAsia="Cambria" w:cs="Cambria"/>
                <w:sz w:val="17"/>
              </w:rPr>
            </w:r>
          </w:p>
        </w:tc>
      </w:tr>
      <w:tr>
        <w:trPr>
          <w:cantSplit w:val="true"/>
        </w:trPr>
        <w:tc>
          <w:tcPr>
            <w:tcW w:type="dxa" w:w="2381"/>
            <w:shd w:fill="FAFCFD" w:val="clear"/>
            <w:tcMar>
              <w:top w:w="70" w:type="dxa"/>
              <w:left w:w="85" w:type="dxa"/>
              <w:bottom w:w="70" w:type="dxa"/>
              <w:right w:w="85" w:type="dxa"/>
            </w:tcMar>
            <w:vAlign w:val="top"/>
          </w:tcPr>
          <w:p>
            <w:pPr>
              <w:spacing w:after="0"/>
            </w:pPr>
            <w:r>
              <w:rPr>
                <w:rFonts w:ascii="Cambria" w:hAnsi="Cambria" w:eastAsia="Cambria" w:cs="Cambria"/>
                <w:sz w:val="17"/>
              </w:rPr>
              <w:t>Reviewed by</w:t>
            </w:r>
          </w:p>
        </w:tc>
        <w:tc>
          <w:tcPr>
            <w:tcW w:type="dxa" w:w="3118"/>
            <w:shd w:fill="FAFCFD" w:val="clear"/>
            <w:tcMar>
              <w:top w:w="70" w:type="dxa"/>
              <w:left w:w="85" w:type="dxa"/>
              <w:bottom w:w="70" w:type="dxa"/>
              <w:right w:w="85" w:type="dxa"/>
            </w:tcMar>
            <w:vAlign w:val="top"/>
          </w:tcPr>
          <w:p>
            <w:pPr>
              <w:spacing w:after="0"/>
            </w:pPr>
            <w:r>
              <w:rPr>
                <w:rFonts w:ascii="Cambria" w:hAnsi="Cambria" w:eastAsia="Cambria" w:cs="Cambria"/>
                <w:sz w:val="17"/>
              </w:rPr>
              <w:t>[REVIEWER / FUNCTION]</w:t>
            </w:r>
          </w:p>
        </w:tc>
        <w:tc>
          <w:tcPr>
            <w:tcW w:type="dxa" w:w="2268"/>
            <w:shd w:fill="FAFCFD" w:val="clear"/>
            <w:tcMar>
              <w:top w:w="70" w:type="dxa"/>
              <w:left w:w="85" w:type="dxa"/>
              <w:bottom w:w="70" w:type="dxa"/>
              <w:right w:w="85" w:type="dxa"/>
            </w:tcMar>
            <w:vAlign w:val="top"/>
          </w:tcPr>
          <w:p>
            <w:pPr>
              <w:spacing w:after="0"/>
            </w:pPr>
            <w:r>
              <w:rPr>
                <w:rFonts w:ascii="Cambria" w:hAnsi="Cambria" w:eastAsia="Cambria" w:cs="Cambria"/>
                <w:sz w:val="17"/>
              </w:rPr>
            </w:r>
          </w:p>
        </w:tc>
        <w:tc>
          <w:tcPr>
            <w:tcW w:type="dxa" w:w="1587"/>
            <w:shd w:fill="FAFCFD" w:val="clear"/>
            <w:tcMar>
              <w:top w:w="70" w:type="dxa"/>
              <w:left w:w="85" w:type="dxa"/>
              <w:bottom w:w="70" w:type="dxa"/>
              <w:right w:w="85" w:type="dxa"/>
            </w:tcMar>
            <w:vAlign w:val="top"/>
          </w:tcPr>
          <w:p>
            <w:pPr>
              <w:spacing w:after="0"/>
            </w:pPr>
            <w:r>
              <w:rPr>
                <w:rFonts w:ascii="Cambria" w:hAnsi="Cambria" w:eastAsia="Cambria" w:cs="Cambria"/>
                <w:sz w:val="17"/>
              </w:rPr>
            </w:r>
          </w:p>
        </w:tc>
      </w:tr>
      <w:tr>
        <w:trPr>
          <w:cantSplit w:val="true"/>
        </w:trPr>
        <w:tc>
          <w:tcPr>
            <w:tcW w:type="dxa" w:w="2381"/>
            <w:tcMar>
              <w:top w:w="70" w:type="dxa"/>
              <w:left w:w="85" w:type="dxa"/>
              <w:bottom w:w="70" w:type="dxa"/>
              <w:right w:w="85" w:type="dxa"/>
            </w:tcMar>
            <w:vAlign w:val="top"/>
          </w:tcPr>
          <w:p>
            <w:pPr>
              <w:spacing w:after="0"/>
            </w:pPr>
            <w:r>
              <w:rPr>
                <w:rFonts w:ascii="Cambria" w:hAnsi="Cambria" w:eastAsia="Cambria" w:cs="Cambria"/>
                <w:sz w:val="17"/>
              </w:rPr>
              <w:t>Approved by</w:t>
            </w:r>
          </w:p>
        </w:tc>
        <w:tc>
          <w:tcPr>
            <w:tcW w:type="dxa" w:w="3118"/>
            <w:tcMar>
              <w:top w:w="70" w:type="dxa"/>
              <w:left w:w="85" w:type="dxa"/>
              <w:bottom w:w="70" w:type="dxa"/>
              <w:right w:w="85" w:type="dxa"/>
            </w:tcMar>
            <w:vAlign w:val="top"/>
          </w:tcPr>
          <w:p>
            <w:pPr>
              <w:spacing w:after="0"/>
            </w:pPr>
            <w:r>
              <w:rPr>
                <w:rFonts w:ascii="Cambria" w:hAnsi="Cambria" w:eastAsia="Cambria" w:cs="Cambria"/>
                <w:sz w:val="17"/>
              </w:rPr>
              <w:t>Top Management</w:t>
            </w:r>
          </w:p>
        </w:tc>
        <w:tc>
          <w:tcPr>
            <w:tcW w:type="dxa" w:w="2268"/>
            <w:tcMar>
              <w:top w:w="70" w:type="dxa"/>
              <w:left w:w="85" w:type="dxa"/>
              <w:bottom w:w="70" w:type="dxa"/>
              <w:right w:w="85" w:type="dxa"/>
            </w:tcMar>
            <w:vAlign w:val="top"/>
          </w:tcPr>
          <w:p>
            <w:pPr>
              <w:spacing w:after="0"/>
            </w:pPr>
            <w:r>
              <w:rPr>
                <w:rFonts w:ascii="Cambria" w:hAnsi="Cambria" w:eastAsia="Cambria" w:cs="Cambria"/>
                <w:sz w:val="17"/>
              </w:rPr>
            </w:r>
          </w:p>
        </w:tc>
        <w:tc>
          <w:tcPr>
            <w:tcW w:type="dxa" w:w="1587"/>
            <w:tcMar>
              <w:top w:w="70" w:type="dxa"/>
              <w:left w:w="85" w:type="dxa"/>
              <w:bottom w:w="70" w:type="dxa"/>
              <w:right w:w="85" w:type="dxa"/>
            </w:tcMar>
            <w:vAlign w:val="top"/>
          </w:tcPr>
          <w:p>
            <w:pPr>
              <w:spacing w:after="0"/>
            </w:pPr>
            <w:r>
              <w:rPr>
                <w:rFonts w:ascii="Cambria" w:hAnsi="Cambria" w:eastAsia="Cambria" w:cs="Cambria"/>
                <w:sz w:val="17"/>
              </w:rPr>
            </w:r>
          </w:p>
        </w:tc>
      </w:tr>
    </w:tbl>
    <w:p>
      <w:pPr>
        <w:spacing w:after="0"/>
      </w:pPr>
    </w:p>
    <w:p>
      <w:pPr>
        <w:pStyle w:val="Heading2"/>
        <w:keepNext/>
        <w:spacing w:before="100" w:after="60"/>
      </w:pPr>
      <w:r>
        <w:rPr>
          <w:rFonts w:ascii="Cambria" w:hAnsi="Cambria" w:eastAsia="Cambria" w:cs="Cambria"/>
          <w:b/>
          <w:color w:val="000000"/>
          <w:sz w:val="21"/>
        </w:rPr>
        <w:t>Revision History</w:t>
      </w:r>
    </w:p>
    <w:tbl>
      <w:tblPr>
        <w:tblW w:type="auto" w:w="0"/>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tblPr>
      <w:tblGrid>
        <w:gridCol w:w="3118"/>
        <w:gridCol w:w="3118"/>
        <w:gridCol w:w="3118"/>
      </w:tblGrid>
      <w:tr>
        <w:trPr>
          <w:cantSplit w:val="true"/>
          <w:tblHeader w:val="true"/>
        </w:trPr>
        <w:tc>
          <w:tcPr>
            <w:tcW w:type="dxa" w:w="1587"/>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Version</w:t>
            </w:r>
          </w:p>
        </w:tc>
        <w:tc>
          <w:tcPr>
            <w:tcW w:type="dxa" w:w="2154"/>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Date</w:t>
            </w:r>
          </w:p>
        </w:tc>
        <w:tc>
          <w:tcPr>
            <w:tcW w:type="dxa" w:w="5613"/>
            <w:shd w:fill="D9EAF7" w:val="clear"/>
            <w:tcMar>
              <w:top w:w="70" w:type="dxa"/>
              <w:left w:w="85" w:type="dxa"/>
              <w:bottom w:w="70" w:type="dxa"/>
              <w:right w:w="85" w:type="dxa"/>
            </w:tcMar>
            <w:vAlign w:val="center"/>
          </w:tcPr>
          <w:p>
            <w:pPr>
              <w:spacing w:after="0"/>
              <w:jc w:val="center"/>
            </w:pPr>
            <w:r>
              <w:rPr>
                <w:rFonts w:ascii="Cambria" w:hAnsi="Cambria" w:eastAsia="Cambria" w:cs="Cambria"/>
                <w:b/>
                <w:color w:val="000000"/>
                <w:sz w:val="17"/>
              </w:rPr>
              <w:t>Description</w:t>
            </w:r>
          </w:p>
        </w:tc>
      </w:tr>
      <w:tr>
        <w:trPr>
          <w:cantSplit w:val="true"/>
        </w:trPr>
        <w:tc>
          <w:tcPr>
            <w:tcW w:type="dxa" w:w="1587"/>
            <w:tcMar>
              <w:top w:w="70" w:type="dxa"/>
              <w:left w:w="85" w:type="dxa"/>
              <w:bottom w:w="70" w:type="dxa"/>
              <w:right w:w="85" w:type="dxa"/>
            </w:tcMar>
            <w:vAlign w:val="top"/>
          </w:tcPr>
          <w:p>
            <w:pPr>
              <w:spacing w:after="0"/>
            </w:pPr>
            <w:r>
              <w:rPr>
                <w:rFonts w:ascii="Cambria" w:hAnsi="Cambria" w:eastAsia="Cambria" w:cs="Cambria"/>
                <w:sz w:val="17"/>
              </w:rPr>
              <w:t>1.0</w:t>
            </w:r>
          </w:p>
        </w:tc>
        <w:tc>
          <w:tcPr>
            <w:tcW w:type="dxa" w:w="2154"/>
            <w:tcMar>
              <w:top w:w="70" w:type="dxa"/>
              <w:left w:w="85" w:type="dxa"/>
              <w:bottom w:w="70" w:type="dxa"/>
              <w:right w:w="85" w:type="dxa"/>
            </w:tcMar>
            <w:vAlign w:val="top"/>
          </w:tcPr>
          <w:p>
            <w:pPr>
              <w:spacing w:after="0"/>
            </w:pPr>
            <w:r>
              <w:rPr>
                <w:rFonts w:ascii="Cambria" w:hAnsi="Cambria" w:eastAsia="Cambria" w:cs="Cambria"/>
                <w:sz w:val="17"/>
              </w:rPr>
              <w:t>2026-09-17</w:t>
            </w:r>
          </w:p>
        </w:tc>
        <w:tc>
          <w:tcPr>
            <w:tcW w:type="dxa" w:w="5613"/>
            <w:tcMar>
              <w:top w:w="70" w:type="dxa"/>
              <w:left w:w="85" w:type="dxa"/>
              <w:bottom w:w="70" w:type="dxa"/>
              <w:right w:w="85" w:type="dxa"/>
            </w:tcMar>
            <w:vAlign w:val="top"/>
          </w:tcPr>
          <w:p>
            <w:pPr>
              <w:spacing w:after="0"/>
            </w:pPr>
            <w:r>
              <w:rPr>
                <w:rFonts w:ascii="Cambria" w:hAnsi="Cambria" w:eastAsia="Cambria" w:cs="Cambria"/>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Pr>
        <w:rFonts w:ascii="Cambria" w:hAnsi="Cambria" w:eastAsia="Cambria" w:cs="Cambria"/>
        <w:color w:val="595959"/>
        <w:sz w:val="16"/>
      </w:rPr>
      <w:t>Copyright © ISO Toolkits | www.iso-toolkits.org | info@iso-toolkits.org</w:t>
    </w:r>
  </w:p>
  <w:p>
    <w:pPr>
      <w:spacing w:before="0" w:after="0"/>
      <w:jc w:val="center"/>
    </w:pPr>
    <w:r>
      <w:rPr>
        <w:rFonts w:ascii="Cambria" w:hAnsi="Cambria" w:eastAsia="Cambria" w:cs="Cambria"/>
        <w:color w:val="595959"/>
        <w:sz w:val="16"/>
      </w:rPr>
      <w:t xml:space="preserve">CONTROLLED DOCUMENT | INTERNAL | Page </w:t>
    </w:r>
    <w:r>
      <w:fldChar w:fldCharType="begin"/>
    </w:r>
    <w:r>
      <w:instrText xml:space="preserve"> PAGE </w:instrText>
    </w:r>
    <w:r>
      <w:fldChar w:fldCharType="separate"/>
    </w:r>
    <w:r>
      <w:rPr>
        <w:rFonts w:ascii="Cambria" w:hAnsi="Cambria" w:eastAsia="Cambria" w:cs="Cambria"/>
        <w:color w:val="595959"/>
        <w:sz w:val="16"/>
      </w:rPr>
      <w:t>1</w:t>
    </w:r>
    <w:r>
      <w:fldChar w:fldCharType="end"/>
    </w:r>
    <w:r>
      <w:rPr>
        <w:rFonts w:ascii="Cambria" w:hAnsi="Cambria" w:eastAsia="Cambria" w:cs="Cambria"/>
        <w:color w:val="595959"/>
        <w:sz w:val="16"/>
      </w:rPr>
      <w:t xml:space="preserve"> of </w:t>
    </w:r>
    <w:r>
      <w:fldChar w:fldCharType="begin"/>
    </w:r>
    <w:r>
      <w:instrText xml:space="preserve"> NUMPAGES </w:instrText>
    </w:r>
    <w:r>
      <w:fldChar w:fldCharType="separate"/>
    </w:r>
    <w:r>
      <w:rPr>
        <w:rFonts w:ascii="Cambria" w:hAnsi="Cambria" w:eastAsia="Cambria" w:cs="Cambria"/>
        <w:color w:val="595959"/>
        <w:sz w:val="16"/>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cs="Cambria"/>
              <w:b/>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cs="Cambria"/>
              <w:b/>
              <w:color w:val="1F4E79"/>
              <w:sz w:val="16"/>
            </w:rPr>
            <w:t>ORGANIZATION NAME</w:t>
          </w:r>
          <w:r>
            <w:rPr>
              <w:rFonts w:ascii="Cambria" w:hAnsi="Cambria" w:eastAsia="Cambria" w:cs="Cambria"/>
              <w:b/>
              <w:color w:val="000000"/>
              <w:sz w:val="20"/>
            </w:rPr>
            <w:br/>
            <w:t>Internal Audit Guidance</w:t>
          </w:r>
        </w:p>
      </w:tc>
      <w:tc>
        <w:tcPr>
          <w:tcW w:type="dxa" w:w="2381"/>
          <w:tcMar>
            <w:top w:w="45" w:type="dxa"/>
            <w:left w:w="65" w:type="dxa"/>
            <w:bottom w:w="45" w:type="dxa"/>
            <w:right w:w="65" w:type="dxa"/>
          </w:tcMar>
          <w:vAlign w:val="center"/>
        </w:tcPr>
        <w:p>
          <w:pPr>
            <w:jc w:val="center"/>
          </w:pPr>
          <w:r>
            <w:rPr>
              <w:rFonts w:ascii="Cambria" w:hAnsi="Cambria" w:eastAsia="Cambria" w:cs="Cambria"/>
              <w:color w:val="000000"/>
              <w:sz w:val="15"/>
            </w:rPr>
            <w:t>QMS-AUD-002</w:t>
            <w:br/>
            <w:t>Version 1.0</w:t>
            <w:br/>
            <w:t>Effective 2026-09-17</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Guidance</dc:title>
  <dc:subject>Practical guidance for planning, conducting, reporting and following up QMS internal audits</dc:subject>
  <dc:creator>ISO Toolkits</dc:creator>
  <cp:keywords>ISO 9001:2026, ISO 19011:2026, internal audit guidance, QMS, auditor, evidence, findings</cp:keywords>
  <dc:description>Practical internal audit guidance built using Word 2007-compatible OOXML rules.</dc:description>
  <cp:lastModifiedBy/>
  <cp:revision>1</cp:revision>
  <dcterms:created xsi:type="dcterms:W3CDTF">2013-12-23T23:15:00Z</dcterms:created>
  <dcterms:modified xsi:type="dcterms:W3CDTF">2013-12-23T23:15:00Z</dcterms:modified>
  <cp:category/>
</cp:coreProperties>
</file>