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Cambria" w:hAnsi="Cambria" w:eastAsia="Cambria"/>
          <w:b/>
          <w:i w:val="0"/>
          <w:color w:val="1F4E79"/>
          <w:sz w:val="36"/>
        </w:rPr>
        <w:t>Innovation Gap Analysis Guidance</w:t>
      </w:r>
    </w:p>
    <w:p>
      <w:pPr>
        <w:jc w:val="center"/>
      </w:pPr>
      <w:r>
        <w:rPr>
          <w:rFonts w:ascii="Cambria" w:hAnsi="Cambria" w:eastAsia="Cambria"/>
          <w:b/>
          <w:i w:val="0"/>
          <w:color w:val="666666"/>
          <w:sz w:val="22"/>
        </w:rPr>
        <w:t>ISO 56001:2024 TOOLKIT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2880"/>
            <w:shd w:fill="D9EAF7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9"/>
              </w:rPr>
              <w:t>Document Code</w:t>
            </w:r>
          </w:p>
        </w:tc>
        <w:tc>
          <w:tcPr>
            <w:tcW w:type="dxa" w:w="662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9"/>
              </w:rPr>
              <w:t>INMS-GOV-001</w:t>
            </w:r>
          </w:p>
        </w:tc>
      </w:tr>
      <w:tr>
        <w:tc>
          <w:tcPr>
            <w:tcW w:type="dxa" w:w="2880"/>
            <w:shd w:fill="D9EAF7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9"/>
              </w:rPr>
              <w:t>Document Type</w:t>
            </w:r>
          </w:p>
        </w:tc>
        <w:tc>
          <w:tcPr>
            <w:tcW w:type="dxa" w:w="662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9"/>
              </w:rPr>
              <w:t>Guidance</w:t>
            </w:r>
          </w:p>
        </w:tc>
      </w:tr>
      <w:tr>
        <w:tc>
          <w:tcPr>
            <w:tcW w:type="dxa" w:w="2880"/>
            <w:shd w:fill="D9EAF7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9"/>
              </w:rPr>
              <w:t>Version</w:t>
            </w:r>
          </w:p>
        </w:tc>
        <w:tc>
          <w:tcPr>
            <w:tcW w:type="dxa" w:w="662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9"/>
              </w:rPr>
              <w:t>1.0</w:t>
            </w:r>
          </w:p>
        </w:tc>
      </w:tr>
      <w:tr>
        <w:tc>
          <w:tcPr>
            <w:tcW w:type="dxa" w:w="2880"/>
            <w:shd w:fill="D9EAF7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9"/>
              </w:rPr>
              <w:t>Effective Date</w:t>
            </w:r>
          </w:p>
        </w:tc>
        <w:tc>
          <w:tcPr>
            <w:tcW w:type="dxa" w:w="662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9"/>
              </w:rPr>
              <w:t>2026-09-19</w:t>
            </w:r>
          </w:p>
        </w:tc>
      </w:tr>
      <w:tr>
        <w:tc>
          <w:tcPr>
            <w:tcW w:type="dxa" w:w="2880"/>
            <w:shd w:fill="D9EAF7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9"/>
              </w:rPr>
              <w:t>Classification</w:t>
            </w:r>
          </w:p>
        </w:tc>
        <w:tc>
          <w:tcPr>
            <w:tcW w:type="dxa" w:w="662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9"/>
              </w:rPr>
              <w:t>INTERNAL</w:t>
            </w:r>
          </w:p>
        </w:tc>
      </w:tr>
      <w:tr>
        <w:tc>
          <w:tcPr>
            <w:tcW w:type="dxa" w:w="2880"/>
            <w:shd w:fill="D9EAF7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9"/>
              </w:rPr>
              <w:t>Organization</w:t>
            </w:r>
          </w:p>
        </w:tc>
        <w:tc>
          <w:tcPr>
            <w:tcW w:type="dxa" w:w="662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9"/>
              </w:rPr>
              <w:t>[ORGANIZATION NAME]</w:t>
            </w:r>
          </w:p>
        </w:tc>
      </w:tr>
    </w:tbl>
    <w:p/>
    <w:p>
      <w:pPr>
        <w:jc w:val="center"/>
      </w:pPr>
      <w:r>
        <w:rPr>
          <w:rFonts w:ascii="Cambria" w:hAnsi="Cambria" w:eastAsia="Cambria"/>
          <w:b w:val="0"/>
          <w:i w:val="0"/>
          <w:color w:val="404040"/>
          <w:sz w:val="21"/>
        </w:rPr>
        <w:t>Practical guidance for planning, conducting, reporting and converting an ISO 56001 gap analysis into a controlled implementation action plan.</w:t>
      </w:r>
    </w:p>
    <w:p/>
    <w:p>
      <w:pPr>
        <w:pStyle w:val="ToolkitNote"/>
        <w:jc w:val="center"/>
      </w:pPr>
      <w:r>
        <w:t>Template / guidance content must be tailored, approved and controlled by the organization before formal use.</w:t>
      </w:r>
    </w:p>
    <w:p>
      <w:r>
        <w:br w:type="page"/>
      </w:r>
    </w:p>
    <w:p>
      <w:pPr>
        <w:pStyle w:val="Heading1"/>
      </w:pPr>
      <w:r>
        <w:t>Document Control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blHeader w:val="true"/>
        </w:trPr>
        <w:tc>
          <w:tcPr>
            <w:tcW w:type="dxa" w:w="2880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Field</w:t>
            </w:r>
          </w:p>
        </w:tc>
        <w:tc>
          <w:tcPr>
            <w:tcW w:type="dxa" w:w="6912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Requirement / Entry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Document code</w:t>
            </w:r>
          </w:p>
        </w:tc>
        <w:tc>
          <w:tcPr>
            <w:tcW w:type="dxa" w:w="69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INMS-GOV-001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Version</w:t>
            </w:r>
          </w:p>
        </w:tc>
        <w:tc>
          <w:tcPr>
            <w:tcW w:type="dxa" w:w="69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1.0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Classification</w:t>
            </w:r>
          </w:p>
        </w:tc>
        <w:tc>
          <w:tcPr>
            <w:tcW w:type="dxa" w:w="69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INTERNAL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Document owner</w:t>
            </w:r>
          </w:p>
        </w:tc>
        <w:tc>
          <w:tcPr>
            <w:tcW w:type="dxa" w:w="69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[DOCUMENT OWNER]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Approved by</w:t>
            </w:r>
          </w:p>
        </w:tc>
        <w:tc>
          <w:tcPr>
            <w:tcW w:type="dxa" w:w="69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[APPROVER]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Effective date</w:t>
            </w:r>
          </w:p>
        </w:tc>
        <w:tc>
          <w:tcPr>
            <w:tcW w:type="dxa" w:w="69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2026-09-19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Next review date</w:t>
            </w:r>
          </w:p>
        </w:tc>
        <w:tc>
          <w:tcPr>
            <w:tcW w:type="dxa" w:w="69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[REVIEW DATE]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Controlled location</w:t>
            </w:r>
          </w:p>
        </w:tc>
        <w:tc>
          <w:tcPr>
            <w:tcW w:type="dxa" w:w="69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[CONTROLLED REPOSITORY / URL]</w:t>
            </w:r>
          </w:p>
        </w:tc>
      </w:tr>
    </w:tbl>
    <w:p/>
    <w:p>
      <w:pPr>
        <w:pStyle w:val="Heading2"/>
      </w:pPr>
      <w:r>
        <w:t>Approval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rPr>
          <w:tblHeader w:val="true"/>
        </w:trPr>
        <w:tc>
          <w:tcPr>
            <w:tcW w:type="dxa" w:w="1872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Role</w:t>
            </w:r>
          </w:p>
        </w:tc>
        <w:tc>
          <w:tcPr>
            <w:tcW w:type="dxa" w:w="2592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Name</w:t>
            </w:r>
          </w:p>
        </w:tc>
        <w:tc>
          <w:tcPr>
            <w:tcW w:type="dxa" w:w="3888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Signature / Electronic Approval</w:t>
            </w:r>
          </w:p>
        </w:tc>
        <w:tc>
          <w:tcPr>
            <w:tcW w:type="dxa" w:w="1728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Date</w:t>
            </w:r>
          </w:p>
        </w:tc>
      </w:tr>
      <w:tr>
        <w:trPr>
          <w:cantSplit/>
        </w:trPr>
        <w:tc>
          <w:tcPr>
            <w:tcW w:type="dxa" w:w="187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Prepared by</w:t>
            </w:r>
          </w:p>
        </w:tc>
        <w:tc>
          <w:tcPr>
            <w:tcW w:type="dxa" w:w="259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[NAME]</w:t>
            </w:r>
          </w:p>
        </w:tc>
        <w:tc>
          <w:tcPr>
            <w:tcW w:type="dxa" w:w="388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[APPROVAL]</w:t>
            </w:r>
          </w:p>
        </w:tc>
        <w:tc>
          <w:tcPr>
            <w:tcW w:type="dxa" w:w="172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[DATE]</w:t>
            </w:r>
          </w:p>
        </w:tc>
      </w:tr>
      <w:tr>
        <w:trPr>
          <w:cantSplit/>
        </w:trPr>
        <w:tc>
          <w:tcPr>
            <w:tcW w:type="dxa" w:w="187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Reviewed by</w:t>
            </w:r>
          </w:p>
        </w:tc>
        <w:tc>
          <w:tcPr>
            <w:tcW w:type="dxa" w:w="259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[NAME]</w:t>
            </w:r>
          </w:p>
        </w:tc>
        <w:tc>
          <w:tcPr>
            <w:tcW w:type="dxa" w:w="388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[APPROVAL]</w:t>
            </w:r>
          </w:p>
        </w:tc>
        <w:tc>
          <w:tcPr>
            <w:tcW w:type="dxa" w:w="172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[DATE]</w:t>
            </w:r>
          </w:p>
        </w:tc>
      </w:tr>
      <w:tr>
        <w:trPr>
          <w:cantSplit/>
        </w:trPr>
        <w:tc>
          <w:tcPr>
            <w:tcW w:type="dxa" w:w="187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Approved by</w:t>
            </w:r>
          </w:p>
        </w:tc>
        <w:tc>
          <w:tcPr>
            <w:tcW w:type="dxa" w:w="259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[NAME]</w:t>
            </w:r>
          </w:p>
        </w:tc>
        <w:tc>
          <w:tcPr>
            <w:tcW w:type="dxa" w:w="388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[APPROVAL]</w:t>
            </w:r>
          </w:p>
        </w:tc>
        <w:tc>
          <w:tcPr>
            <w:tcW w:type="dxa" w:w="172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[DATE]</w:t>
            </w:r>
          </w:p>
        </w:tc>
      </w:tr>
    </w:tbl>
    <w:p/>
    <w:p>
      <w:pPr>
        <w:pStyle w:val="Heading2"/>
      </w:pPr>
      <w:r>
        <w:t>Revision History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rPr>
          <w:tblHeader w:val="true"/>
        </w:trPr>
        <w:tc>
          <w:tcPr>
            <w:tcW w:type="dxa" w:w="1440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Version</w:t>
            </w:r>
          </w:p>
        </w:tc>
        <w:tc>
          <w:tcPr>
            <w:tcW w:type="dxa" w:w="1872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Date</w:t>
            </w:r>
          </w:p>
        </w:tc>
        <w:tc>
          <w:tcPr>
            <w:tcW w:type="dxa" w:w="5472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Change Summary</w:t>
            </w:r>
          </w:p>
        </w:tc>
        <w:tc>
          <w:tcPr>
            <w:tcW w:type="dxa" w:w="1440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Approved By</w:t>
            </w:r>
          </w:p>
        </w:tc>
      </w:tr>
      <w:tr>
        <w:trPr>
          <w:cantSplit/>
        </w:trPr>
        <w:tc>
          <w:tcPr>
            <w:tcW w:type="dxa" w:w="144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1.0</w:t>
            </w:r>
          </w:p>
        </w:tc>
        <w:tc>
          <w:tcPr>
            <w:tcW w:type="dxa" w:w="187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2026-09-19</w:t>
            </w:r>
          </w:p>
        </w:tc>
        <w:tc>
          <w:tcPr>
            <w:tcW w:type="dxa" w:w="547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Initial toolkit issue</w:t>
            </w:r>
          </w:p>
        </w:tc>
        <w:tc>
          <w:tcPr>
            <w:tcW w:type="dxa" w:w="144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[APPROVER]</w:t>
            </w:r>
          </w:p>
        </w:tc>
      </w:tr>
      <w:tr>
        <w:trPr>
          <w:cantSplit/>
        </w:trPr>
        <w:tc>
          <w:tcPr>
            <w:tcW w:type="dxa" w:w="144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87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547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44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144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87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547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44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</w:tbl>
    <w:p/>
    <w:p>
      <w:pPr>
        <w:pStyle w:val="Heading1"/>
      </w:pPr>
      <w:r>
        <w:t>Document Contents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blHeader w:val="true"/>
        </w:trPr>
        <w:tc>
          <w:tcPr>
            <w:tcW w:type="dxa" w:w="1152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8"/>
              </w:rPr>
              <w:t>Section</w:t>
            </w:r>
          </w:p>
        </w:tc>
        <w:tc>
          <w:tcPr>
            <w:tcW w:type="dxa" w:w="8928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8"/>
              </w:rPr>
              <w:t>Content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1</w:t>
            </w:r>
          </w:p>
        </w:tc>
        <w:tc>
          <w:tcPr>
            <w:tcW w:type="dxa" w:w="892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Purpose, scope and intended users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2</w:t>
            </w:r>
          </w:p>
        </w:tc>
        <w:tc>
          <w:tcPr>
            <w:tcW w:type="dxa" w:w="892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Gap analysis principles and governance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3</w:t>
            </w:r>
          </w:p>
        </w:tc>
        <w:tc>
          <w:tcPr>
            <w:tcW w:type="dxa" w:w="892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Preparation and evidence planning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4</w:t>
            </w:r>
          </w:p>
        </w:tc>
        <w:tc>
          <w:tcPr>
            <w:tcW w:type="dxa" w:w="892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Assessment method and rating model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5</w:t>
            </w:r>
          </w:p>
        </w:tc>
        <w:tc>
          <w:tcPr>
            <w:tcW w:type="dxa" w:w="892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Clause-theme assessment guidance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6</w:t>
            </w:r>
          </w:p>
        </w:tc>
        <w:tc>
          <w:tcPr>
            <w:tcW w:type="dxa" w:w="892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Interview, sampling and evidence techniques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7</w:t>
            </w:r>
          </w:p>
        </w:tc>
        <w:tc>
          <w:tcPr>
            <w:tcW w:type="dxa" w:w="892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Gap classification and prioritization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8</w:t>
            </w:r>
          </w:p>
        </w:tc>
        <w:tc>
          <w:tcPr>
            <w:tcW w:type="dxa" w:w="892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Action-plan conversion and reporting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9</w:t>
            </w:r>
          </w:p>
        </w:tc>
        <w:tc>
          <w:tcPr>
            <w:tcW w:type="dxa" w:w="892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Quality assurance and records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10</w:t>
            </w:r>
          </w:p>
        </w:tc>
        <w:tc>
          <w:tcPr>
            <w:tcW w:type="dxa" w:w="892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Annexes: working aids and sample outputs</w:t>
            </w:r>
          </w:p>
        </w:tc>
      </w:tr>
    </w:tbl>
    <w:p/>
    <w:p>
      <w:pPr>
        <w:pStyle w:val="Heading1"/>
      </w:pPr>
      <w:r>
        <w:t>1. Purpose</w:t>
      </w:r>
    </w:p>
    <w:p>
      <w:r>
        <w:rPr>
          <w:rFonts w:ascii="Cambria" w:hAnsi="Cambria" w:eastAsia="Cambria"/>
          <w:b w:val="0"/>
          <w:i w:val="0"/>
          <w:color w:val="222222"/>
          <w:sz w:val="21"/>
        </w:rPr>
        <w:t>This guidance provides a structured method for assessing the current state of an innovation management system against ISO 56001:2024 and for converting verified gaps into practical implementation actions. It is designed to create decision-ready evidence rather than a theoretical compliance commentary.</w:t>
      </w:r>
    </w:p>
    <w:p>
      <w:pPr>
        <w:pStyle w:val="Heading1"/>
      </w:pPr>
      <w:r>
        <w:t>2. Scope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Applies to organization-wide, business-unit, function, site or programme-level innovation management system assessments.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Covers clauses 4 to 10 of ISO 56001:2024 through paraphrased assessment themes.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Supports initial implementation, pre-certification readiness, post-merger integration, system redesign and periodic maturity reassessment.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Does not replace a certification audit, legal review, financial due diligence or detailed assessment of a specific innovation technology.</w:t>
      </w:r>
    </w:p>
    <w:p>
      <w:pPr>
        <w:pStyle w:val="Heading1"/>
      </w:pPr>
      <w:r>
        <w:t>3. Roles and Responsibilities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blHeader w:val="true"/>
        </w:trPr>
        <w:tc>
          <w:tcPr>
            <w:tcW w:type="dxa" w:w="2880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Role</w:t>
            </w:r>
          </w:p>
        </w:tc>
        <w:tc>
          <w:tcPr>
            <w:tcW w:type="dxa" w:w="7200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Core responsibility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Executive Sponsor</w:t>
            </w:r>
          </w:p>
        </w:tc>
        <w:tc>
          <w:tcPr>
            <w:tcW w:type="dxa" w:w="720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Authorize scope, provide access, resolve cross-functional barriers and receive the executive gap summary.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Assessment Lead</w:t>
            </w:r>
          </w:p>
        </w:tc>
        <w:tc>
          <w:tcPr>
            <w:tcW w:type="dxa" w:w="720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Plan the analysis, ensure evidence quality, calibrate ratings and approve the final gap record.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Clause / Process Assessors</w:t>
            </w:r>
          </w:p>
        </w:tc>
        <w:tc>
          <w:tcPr>
            <w:tcW w:type="dxa" w:w="720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Collect evidence, interview process owners, evaluate implementation and write traceable findings.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Process Owners</w:t>
            </w:r>
          </w:p>
        </w:tc>
        <w:tc>
          <w:tcPr>
            <w:tcW w:type="dxa" w:w="720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Provide records, explain current practices, validate factual accuracy and own assigned actions.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Innovation / Portfolio Office</w:t>
            </w:r>
          </w:p>
        </w:tc>
        <w:tc>
          <w:tcPr>
            <w:tcW w:type="dxa" w:w="720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Provide portfolio, initiative, measurement, governance and value-realization evidence.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Document Controller</w:t>
            </w:r>
          </w:p>
        </w:tc>
        <w:tc>
          <w:tcPr>
            <w:tcW w:type="dxa" w:w="720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Control the approved report, working papers and resulting action plan.</w:t>
            </w:r>
          </w:p>
        </w:tc>
      </w:tr>
    </w:tbl>
    <w:p/>
    <w:p>
      <w:pPr>
        <w:pStyle w:val="Heading1"/>
      </w:pPr>
      <w:r>
        <w:t>4. Assessment Principles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Evidence before rating: conclusions should be supported by records, observation, interviews or reproducible data.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Effectiveness over document existence: a procedure that is not used or does not produce intended outcomes is not fully implemented.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System interaction: assess how strategy, portfolios, initiatives, resources, measurements and improvement processes work together.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Value realization: test whether governance and measurement connect innovation activity to expected and realized value.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Uncertainty awareness: evaluate whether processes support experimentation and evidence-based decisions without imposing excessive bureaucracy.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Risk-based depth: increase sampling where failure could materially affect strategic value, investment, collaboration, intellectual property, reputation or responsible innovation.</w:t>
      </w:r>
    </w:p>
    <w:p>
      <w:pPr>
        <w:pStyle w:val="Heading1"/>
      </w:pPr>
      <w:r>
        <w:t>5. Preparation Workflow</w:t>
      </w:r>
    </w:p>
    <w:p>
      <w:pPr>
        <w:pStyle w:val="ListNumber"/>
      </w:pPr>
      <w:r>
        <w:rPr>
          <w:rFonts w:ascii="Cambria" w:hAnsi="Cambria" w:eastAsia="Cambria"/>
          <w:b w:val="0"/>
          <w:i w:val="0"/>
          <w:color w:val="222222"/>
          <w:sz w:val="20"/>
        </w:rPr>
        <w:t>Confirm objectives, scope, organizational boundaries and assessment period.</w:t>
      </w:r>
    </w:p>
    <w:p>
      <w:pPr>
        <w:pStyle w:val="ListNumber"/>
      </w:pPr>
      <w:r>
        <w:rPr>
          <w:rFonts w:ascii="Cambria" w:hAnsi="Cambria" w:eastAsia="Cambria"/>
          <w:b w:val="0"/>
          <w:i w:val="0"/>
          <w:color w:val="222222"/>
          <w:sz w:val="20"/>
        </w:rPr>
        <w:t>Identify applicable innovation system processes, governance forums, portfolios and representative initiatives.</w:t>
      </w:r>
    </w:p>
    <w:p>
      <w:pPr>
        <w:pStyle w:val="ListNumber"/>
      </w:pPr>
      <w:r>
        <w:rPr>
          <w:rFonts w:ascii="Cambria" w:hAnsi="Cambria" w:eastAsia="Cambria"/>
          <w:b w:val="0"/>
          <w:i w:val="0"/>
          <w:color w:val="222222"/>
          <w:sz w:val="20"/>
        </w:rPr>
        <w:t>Prepare a document / evidence request list.</w:t>
      </w:r>
    </w:p>
    <w:p>
      <w:pPr>
        <w:pStyle w:val="ListNumber"/>
      </w:pPr>
      <w:r>
        <w:rPr>
          <w:rFonts w:ascii="Cambria" w:hAnsi="Cambria" w:eastAsia="Cambria"/>
          <w:b w:val="0"/>
          <w:i w:val="0"/>
          <w:color w:val="222222"/>
          <w:sz w:val="20"/>
        </w:rPr>
        <w:t>Create an interview plan covering top management, portfolio governance, initiative owners, enabling functions and selected team members.</w:t>
      </w:r>
    </w:p>
    <w:p>
      <w:pPr>
        <w:pStyle w:val="ListNumber"/>
      </w:pPr>
      <w:r>
        <w:rPr>
          <w:rFonts w:ascii="Cambria" w:hAnsi="Cambria" w:eastAsia="Cambria"/>
          <w:b w:val="0"/>
          <w:i w:val="0"/>
          <w:color w:val="222222"/>
          <w:sz w:val="20"/>
        </w:rPr>
        <w:t>Select representative samples across different innovation horizons, stages and outcomes, including paused or stopped initiatives.</w:t>
      </w:r>
    </w:p>
    <w:p>
      <w:pPr>
        <w:pStyle w:val="ListNumber"/>
      </w:pPr>
      <w:r>
        <w:rPr>
          <w:rFonts w:ascii="Cambria" w:hAnsi="Cambria" w:eastAsia="Cambria"/>
          <w:b w:val="0"/>
          <w:i w:val="0"/>
          <w:color w:val="222222"/>
          <w:sz w:val="20"/>
        </w:rPr>
        <w:t>Configure the live gap-analysis workbook so Example Data is removed or clearly excluded from Actual results.</w:t>
      </w:r>
    </w:p>
    <w:p>
      <w:pPr>
        <w:pStyle w:val="ListNumber"/>
      </w:pPr>
      <w:r>
        <w:rPr>
          <w:rFonts w:ascii="Cambria" w:hAnsi="Cambria" w:eastAsia="Cambria"/>
          <w:b w:val="0"/>
          <w:i w:val="0"/>
          <w:color w:val="222222"/>
          <w:sz w:val="20"/>
        </w:rPr>
        <w:t>Hold an opening meeting to confirm purpose, method, confidentiality and evidence expectations.</w:t>
      </w:r>
    </w:p>
    <w:p>
      <w:pPr>
        <w:pStyle w:val="Heading1"/>
      </w:pPr>
      <w:r>
        <w:t>6. Minimum Evidence Pack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blHeader w:val="true"/>
        </w:trPr>
        <w:tc>
          <w:tcPr>
            <w:tcW w:type="dxa" w:w="2880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Evidence Area</w:t>
            </w:r>
          </w:p>
        </w:tc>
        <w:tc>
          <w:tcPr>
            <w:tcW w:type="dxa" w:w="7200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Typical Evidence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Context and direction</w:t>
            </w:r>
          </w:p>
        </w:tc>
        <w:tc>
          <w:tcPr>
            <w:tcW w:type="dxa" w:w="720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Context review, strategic intelligence, innovation intent, scope, policy, strategy, strategic themes.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Leadership and culture</w:t>
            </w:r>
          </w:p>
        </w:tc>
        <w:tc>
          <w:tcPr>
            <w:tcW w:type="dxa" w:w="720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Leadership decisions, governance terms, culture assessment, communications, resource commitments.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Planning and portfolio</w:t>
            </w:r>
          </w:p>
        </w:tc>
        <w:tc>
          <w:tcPr>
            <w:tcW w:type="dxa" w:w="720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Risks/opportunities, objectives, portfolio criteria, portfolio dashboard, allocation / stop / pivot decisions.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Support</w:t>
            </w:r>
          </w:p>
        </w:tc>
        <w:tc>
          <w:tcPr>
            <w:tcW w:type="dxa" w:w="720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Resource plans, competence records, knowledge repositories, IP reviews, collaboration controls, tools/methods, documented information.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Operations</w:t>
            </w:r>
          </w:p>
        </w:tc>
        <w:tc>
          <w:tcPr>
            <w:tcW w:type="dxa" w:w="720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Initiative charters, opportunity evidence, concepts, experiments, validation records, development / deployment plans, learning logs.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Performance</w:t>
            </w:r>
          </w:p>
        </w:tc>
        <w:tc>
          <w:tcPr>
            <w:tcW w:type="dxa" w:w="720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Measurement definitions, dashboards, trend analysis, internal audits, management review records.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Improvement</w:t>
            </w:r>
          </w:p>
        </w:tc>
        <w:tc>
          <w:tcPr>
            <w:tcW w:type="dxa" w:w="720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Nonconformities, corrective actions, improvement register, effectiveness evidence, lessons learned.</w:t>
            </w:r>
          </w:p>
        </w:tc>
      </w:tr>
    </w:tbl>
    <w:p/>
    <w:p>
      <w:pPr>
        <w:pStyle w:val="Heading1"/>
      </w:pPr>
      <w:r>
        <w:t>7. Assessment Rating Model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rPr>
          <w:tblHeader w:val="true"/>
        </w:trPr>
        <w:tc>
          <w:tcPr>
            <w:tcW w:type="dxa" w:w="2016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Rating</w:t>
            </w:r>
          </w:p>
        </w:tc>
        <w:tc>
          <w:tcPr>
            <w:tcW w:type="dxa" w:w="4752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Use when</w:t>
            </w:r>
          </w:p>
        </w:tc>
        <w:tc>
          <w:tcPr>
            <w:tcW w:type="dxa" w:w="3312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Evidence expectation</w:t>
            </w:r>
          </w:p>
        </w:tc>
      </w:tr>
      <w:tr>
        <w:trPr>
          <w:cantSplit/>
        </w:trPr>
        <w:tc>
          <w:tcPr>
            <w:tcW w:type="dxa" w:w="201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Fully Implemented</w:t>
            </w:r>
          </w:p>
        </w:tc>
        <w:tc>
          <w:tcPr>
            <w:tcW w:type="dxa" w:w="47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The requirement theme is established, operating consistently and producing intended evidence/outcomes.</w:t>
            </w:r>
          </w:p>
        </w:tc>
        <w:tc>
          <w:tcPr>
            <w:tcW w:type="dxa" w:w="33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Multiple current samples support implementation and effectiveness.</w:t>
            </w:r>
          </w:p>
        </w:tc>
      </w:tr>
      <w:tr>
        <w:trPr>
          <w:cantSplit/>
        </w:trPr>
        <w:tc>
          <w:tcPr>
            <w:tcW w:type="dxa" w:w="201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Partially Implemented</w:t>
            </w:r>
          </w:p>
        </w:tc>
        <w:tc>
          <w:tcPr>
            <w:tcW w:type="dxa" w:w="47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Some elements are present but coverage, consistency, integration or effectiveness is incomplete.</w:t>
            </w:r>
          </w:p>
        </w:tc>
        <w:tc>
          <w:tcPr>
            <w:tcW w:type="dxa" w:w="33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Evidence exists but has material gaps or inconsistent application.</w:t>
            </w:r>
          </w:p>
        </w:tc>
      </w:tr>
      <w:tr>
        <w:trPr>
          <w:cantSplit/>
        </w:trPr>
        <w:tc>
          <w:tcPr>
            <w:tcW w:type="dxa" w:w="201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Not Implemented</w:t>
            </w:r>
          </w:p>
        </w:tc>
        <w:tc>
          <w:tcPr>
            <w:tcW w:type="dxa" w:w="47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The requirement theme is absent, informal only, or evidence shows that intended control is not operating.</w:t>
            </w:r>
          </w:p>
        </w:tc>
        <w:tc>
          <w:tcPr>
            <w:tcW w:type="dxa" w:w="33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No reliable evidence or a clear systemic breakdown.</w:t>
            </w:r>
          </w:p>
        </w:tc>
      </w:tr>
      <w:tr>
        <w:trPr>
          <w:cantSplit/>
        </w:trPr>
        <w:tc>
          <w:tcPr>
            <w:tcW w:type="dxa" w:w="201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N/A</w:t>
            </w:r>
          </w:p>
        </w:tc>
        <w:tc>
          <w:tcPr>
            <w:tcW w:type="dxa" w:w="47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A requirement is legitimately not applicable within the controlled scope.</w:t>
            </w:r>
          </w:p>
        </w:tc>
        <w:tc>
          <w:tcPr>
            <w:tcW w:type="dxa" w:w="33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Rationale is documented and approved; convenience is not a valid basis.</w:t>
            </w:r>
          </w:p>
        </w:tc>
      </w:tr>
      <w:tr>
        <w:trPr>
          <w:cantSplit/>
        </w:trPr>
        <w:tc>
          <w:tcPr>
            <w:tcW w:type="dxa" w:w="201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Not Assessed</w:t>
            </w:r>
          </w:p>
        </w:tc>
        <w:tc>
          <w:tcPr>
            <w:tcW w:type="dxa" w:w="47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Evidence was insufficient or the item was intentionally deferred.</w:t>
            </w:r>
          </w:p>
        </w:tc>
        <w:tc>
          <w:tcPr>
            <w:tcW w:type="dxa" w:w="33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Open evidence request or documented assessment limitation.</w:t>
            </w:r>
          </w:p>
        </w:tc>
      </w:tr>
    </w:tbl>
    <w:p/>
    <w:p>
      <w:pPr>
        <w:pStyle w:val="ToolkitNote"/>
      </w:pPr>
      <w:r>
        <w:rPr>
          <w:rFonts w:ascii="Cambria" w:hAnsi="Cambria" w:eastAsia="Cambria"/>
          <w:b w:val="0"/>
          <w:i/>
          <w:color w:val="C00000"/>
          <w:sz w:val="18"/>
        </w:rPr>
        <w:t>[Note] Do not convert this rating into a false “certification percentage.” Use it to prioritize implementation and provide transparent management information.</w:t>
      </w:r>
    </w:p>
    <w:p>
      <w:pPr>
        <w:pStyle w:val="Heading1"/>
      </w:pPr>
      <w:r>
        <w:t>8. Clause-Theme Assessment Guide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rPr>
          <w:tblHeader w:val="true"/>
        </w:trPr>
        <w:tc>
          <w:tcPr>
            <w:tcW w:type="dxa" w:w="2160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Clause Area</w:t>
            </w:r>
          </w:p>
        </w:tc>
        <w:tc>
          <w:tcPr>
            <w:tcW w:type="dxa" w:w="4896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Assessment Focus</w:t>
            </w:r>
          </w:p>
        </w:tc>
        <w:tc>
          <w:tcPr>
            <w:tcW w:type="dxa" w:w="3456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Core Test Question</w:t>
            </w:r>
          </w:p>
        </w:tc>
      </w:tr>
      <w:tr>
        <w:trPr>
          <w:cantSplit/>
        </w:trPr>
        <w:tc>
          <w:tcPr>
            <w:tcW w:type="dxa" w:w="216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4. Context</w:t>
            </w:r>
          </w:p>
        </w:tc>
        <w:tc>
          <w:tcPr>
            <w:tcW w:type="dxa" w:w="489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Context, interested parties, innovation intent, system scope and management-system processes.</w:t>
            </w:r>
          </w:p>
        </w:tc>
        <w:tc>
          <w:tcPr>
            <w:tcW w:type="dxa" w:w="345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Is the innovation system direction based on current context and clear boundaries?</w:t>
            </w:r>
          </w:p>
        </w:tc>
      </w:tr>
      <w:tr>
        <w:trPr>
          <w:cantSplit/>
        </w:trPr>
        <w:tc>
          <w:tcPr>
            <w:tcW w:type="dxa" w:w="216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5. Leadership</w:t>
            </w:r>
          </w:p>
        </w:tc>
        <w:tc>
          <w:tcPr>
            <w:tcW w:type="dxa" w:w="489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Leadership commitment, value realization, change, policy, strategy, culture, roles and authorities.</w:t>
            </w:r>
          </w:p>
        </w:tc>
        <w:tc>
          <w:tcPr>
            <w:tcW w:type="dxa" w:w="345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Do leaders make consistent innovation decisions and enable the desired culture?</w:t>
            </w:r>
          </w:p>
        </w:tc>
      </w:tr>
      <w:tr>
        <w:trPr>
          <w:cantSplit/>
        </w:trPr>
        <w:tc>
          <w:tcPr>
            <w:tcW w:type="dxa" w:w="216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6. Planning</w:t>
            </w:r>
          </w:p>
        </w:tc>
        <w:tc>
          <w:tcPr>
            <w:tcW w:type="dxa" w:w="489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Risks/opportunities, objectives, planned changes, portfolios, organizational structures and collaboration.</w:t>
            </w:r>
          </w:p>
        </w:tc>
        <w:tc>
          <w:tcPr>
            <w:tcW w:type="dxa" w:w="345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Are choices, portfolios and structures aligned to strategy and uncertainty?</w:t>
            </w:r>
          </w:p>
        </w:tc>
      </w:tr>
      <w:tr>
        <w:trPr>
          <w:cantSplit/>
        </w:trPr>
        <w:tc>
          <w:tcPr>
            <w:tcW w:type="dxa" w:w="216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7. Support</w:t>
            </w:r>
          </w:p>
        </w:tc>
        <w:tc>
          <w:tcPr>
            <w:tcW w:type="dxa" w:w="489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People, time, finance, infrastructure, knowledge, IP, tools/methods, competence, awareness, communication and documented information.</w:t>
            </w:r>
          </w:p>
        </w:tc>
        <w:tc>
          <w:tcPr>
            <w:tcW w:type="dxa" w:w="345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Can teams access the capabilities and controls needed for effective innovation?</w:t>
            </w:r>
          </w:p>
        </w:tc>
      </w:tr>
      <w:tr>
        <w:trPr>
          <w:cantSplit/>
        </w:trPr>
        <w:tc>
          <w:tcPr>
            <w:tcW w:type="dxa" w:w="216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8. Operation</w:t>
            </w:r>
          </w:p>
        </w:tc>
        <w:tc>
          <w:tcPr>
            <w:tcW w:type="dxa" w:w="489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Operational planning, innovation initiatives and the opportunity-to-deployment innovation process.</w:t>
            </w:r>
          </w:p>
        </w:tc>
        <w:tc>
          <w:tcPr>
            <w:tcW w:type="dxa" w:w="345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Are assumptions tested, evidence used and initiatives actively governed?</w:t>
            </w:r>
          </w:p>
        </w:tc>
      </w:tr>
      <w:tr>
        <w:trPr>
          <w:cantSplit/>
        </w:trPr>
        <w:tc>
          <w:tcPr>
            <w:tcW w:type="dxa" w:w="216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9. Performance Evaluation</w:t>
            </w:r>
          </w:p>
        </w:tc>
        <w:tc>
          <w:tcPr>
            <w:tcW w:type="dxa" w:w="489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Measurement, analysis/evaluation, internal audit and management review.</w:t>
            </w:r>
          </w:p>
        </w:tc>
        <w:tc>
          <w:tcPr>
            <w:tcW w:type="dxa" w:w="345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Does performance information drive evidence-based decisions and system improvement?</w:t>
            </w:r>
          </w:p>
        </w:tc>
      </w:tr>
      <w:tr>
        <w:trPr>
          <w:cantSplit/>
        </w:trPr>
        <w:tc>
          <w:tcPr>
            <w:tcW w:type="dxa" w:w="216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10. Improvement</w:t>
            </w:r>
          </w:p>
        </w:tc>
        <w:tc>
          <w:tcPr>
            <w:tcW w:type="dxa" w:w="489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Continual improvement, nonconformity and corrective action.</w:t>
            </w:r>
          </w:p>
        </w:tc>
        <w:tc>
          <w:tcPr>
            <w:tcW w:type="dxa" w:w="345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Are system weaknesses corrected and learning embedded?</w:t>
            </w:r>
          </w:p>
        </w:tc>
      </w:tr>
    </w:tbl>
    <w:p/>
    <w:p>
      <w:pPr>
        <w:pStyle w:val="Heading1"/>
      </w:pPr>
      <w:r>
        <w:t>9. Evidence Sampling Guidance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Sample both successful and unsuccessful / stopped initiatives to avoid survivorship bias.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Sample at least one initiative from more than one stage where the portfolio permits: opportunity, concept, validation, development and deployment.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Trace selected initiatives end-to-end: opportunity evidence → concept → validation → decision → development/deployment → value evidence or closure learning.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Compare governance requirements with actual meeting decisions.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Trace a small number of measurements from definition → source data → dashboard → management decision.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For collaboration and IP, verify that controls occur before material disclosure or commitment, not only after issues arise.</w:t>
      </w:r>
    </w:p>
    <w:p>
      <w:pPr>
        <w:pStyle w:val="Heading1"/>
      </w:pPr>
      <w:r>
        <w:t>10. Interview Technique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blHeader w:val="true"/>
        </w:trPr>
        <w:tc>
          <w:tcPr>
            <w:tcW w:type="dxa" w:w="5760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Good Question</w:t>
            </w:r>
          </w:p>
        </w:tc>
        <w:tc>
          <w:tcPr>
            <w:tcW w:type="dxa" w:w="4320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What it reveals</w:t>
            </w:r>
          </w:p>
        </w:tc>
      </w:tr>
      <w:tr>
        <w:trPr>
          <w:cantSplit/>
        </w:trPr>
        <w:tc>
          <w:tcPr>
            <w:tcW w:type="dxa" w:w="576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Show me the last two examples where an initiative was stopped or pivoted. What evidence drove the decision?</w:t>
            </w:r>
          </w:p>
        </w:tc>
        <w:tc>
          <w:tcPr>
            <w:tcW w:type="dxa" w:w="432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Decision discipline and psychological safety around stopping work.</w:t>
            </w:r>
          </w:p>
        </w:tc>
      </w:tr>
      <w:tr>
        <w:trPr>
          <w:cantSplit/>
        </w:trPr>
        <w:tc>
          <w:tcPr>
            <w:tcW w:type="dxa" w:w="576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How does leadership distinguish useful learning from poor execution?</w:t>
            </w:r>
          </w:p>
        </w:tc>
        <w:tc>
          <w:tcPr>
            <w:tcW w:type="dxa" w:w="432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Culture and governance maturity.</w:t>
            </w:r>
          </w:p>
        </w:tc>
      </w:tr>
      <w:tr>
        <w:trPr>
          <w:cantSplit/>
        </w:trPr>
        <w:tc>
          <w:tcPr>
            <w:tcW w:type="dxa" w:w="576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Which portfolio information causes resources to be reallocated?</w:t>
            </w:r>
          </w:p>
        </w:tc>
        <w:tc>
          <w:tcPr>
            <w:tcW w:type="dxa" w:w="432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Portfolio effectiveness.</w:t>
            </w:r>
          </w:p>
        </w:tc>
      </w:tr>
      <w:tr>
        <w:trPr>
          <w:cantSplit/>
        </w:trPr>
        <w:tc>
          <w:tcPr>
            <w:tcW w:type="dxa" w:w="576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How do teams know when IP or confidentiality review is required?</w:t>
            </w:r>
          </w:p>
        </w:tc>
        <w:tc>
          <w:tcPr>
            <w:tcW w:type="dxa" w:w="432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Embedded support controls.</w:t>
            </w:r>
          </w:p>
        </w:tc>
      </w:tr>
      <w:tr>
        <w:trPr>
          <w:cantSplit/>
        </w:trPr>
        <w:tc>
          <w:tcPr>
            <w:tcW w:type="dxa" w:w="576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Which innovation measurements have changed a decision in the last quarter?</w:t>
            </w:r>
          </w:p>
        </w:tc>
        <w:tc>
          <w:tcPr>
            <w:tcW w:type="dxa" w:w="432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Measurement usefulness.</w:t>
            </w:r>
          </w:p>
        </w:tc>
      </w:tr>
      <w:tr>
        <w:trPr>
          <w:cantSplit/>
        </w:trPr>
        <w:tc>
          <w:tcPr>
            <w:tcW w:type="dxa" w:w="576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What changed in the management system after the last audit or review?</w:t>
            </w:r>
          </w:p>
        </w:tc>
        <w:tc>
          <w:tcPr>
            <w:tcW w:type="dxa" w:w="432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Improvement effectiveness.</w:t>
            </w:r>
          </w:p>
        </w:tc>
      </w:tr>
    </w:tbl>
    <w:p/>
    <w:p>
      <w:pPr>
        <w:pStyle w:val="Heading1"/>
      </w:pPr>
      <w:r>
        <w:t>11. Writing a Defensible Gap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rPr>
          <w:tblHeader w:val="true"/>
        </w:trPr>
        <w:tc>
          <w:tcPr>
            <w:tcW w:type="dxa" w:w="1872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Component</w:t>
            </w:r>
          </w:p>
        </w:tc>
        <w:tc>
          <w:tcPr>
            <w:tcW w:type="dxa" w:w="3888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Writing rule</w:t>
            </w:r>
          </w:p>
        </w:tc>
        <w:tc>
          <w:tcPr>
            <w:tcW w:type="dxa" w:w="4320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Example (Illustrative Data)</w:t>
            </w:r>
          </w:p>
        </w:tc>
      </w:tr>
      <w:tr>
        <w:trPr>
          <w:cantSplit/>
        </w:trPr>
        <w:tc>
          <w:tcPr>
            <w:tcW w:type="dxa" w:w="187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Criterion</w:t>
            </w:r>
          </w:p>
        </w:tc>
        <w:tc>
          <w:tcPr>
            <w:tcW w:type="dxa" w:w="388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State the requirement theme or approved internal control.</w:t>
            </w:r>
          </w:p>
        </w:tc>
        <w:tc>
          <w:tcPr>
            <w:tcW w:type="dxa" w:w="432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Portfolio continuation decisions use defined evidence and criteria.</w:t>
            </w:r>
          </w:p>
        </w:tc>
      </w:tr>
      <w:tr>
        <w:trPr>
          <w:cantSplit/>
        </w:trPr>
        <w:tc>
          <w:tcPr>
            <w:tcW w:type="dxa" w:w="187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Evidence</w:t>
            </w:r>
          </w:p>
        </w:tc>
        <w:tc>
          <w:tcPr>
            <w:tcW w:type="dxa" w:w="388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State what was seen, sampled or not available.</w:t>
            </w:r>
          </w:p>
        </w:tc>
        <w:tc>
          <w:tcPr>
            <w:tcW w:type="dxa" w:w="432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Three sampled initiatives continued despite missing agreed validation evidence.</w:t>
            </w:r>
          </w:p>
        </w:tc>
      </w:tr>
      <w:tr>
        <w:trPr>
          <w:cantSplit/>
        </w:trPr>
        <w:tc>
          <w:tcPr>
            <w:tcW w:type="dxa" w:w="187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Gap</w:t>
            </w:r>
          </w:p>
        </w:tc>
        <w:tc>
          <w:tcPr>
            <w:tcW w:type="dxa" w:w="388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Describe the factual shortfall, not a motive or opinion.</w:t>
            </w:r>
          </w:p>
        </w:tc>
        <w:tc>
          <w:tcPr>
            <w:tcW w:type="dxa" w:w="432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Continuation criteria were not applied consistently.</w:t>
            </w:r>
          </w:p>
        </w:tc>
      </w:tr>
      <w:tr>
        <w:trPr>
          <w:cantSplit/>
        </w:trPr>
        <w:tc>
          <w:tcPr>
            <w:tcW w:type="dxa" w:w="187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Impact</w:t>
            </w:r>
          </w:p>
        </w:tc>
        <w:tc>
          <w:tcPr>
            <w:tcW w:type="dxa" w:w="388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Explain likely management-system consequence.</w:t>
            </w:r>
          </w:p>
        </w:tc>
        <w:tc>
          <w:tcPr>
            <w:tcW w:type="dxa" w:w="432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Resources can remain committed to initiatives with weak evidence.</w:t>
            </w:r>
          </w:p>
        </w:tc>
      </w:tr>
      <w:tr>
        <w:trPr>
          <w:cantSplit/>
        </w:trPr>
        <w:tc>
          <w:tcPr>
            <w:tcW w:type="dxa" w:w="187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Recommended Action</w:t>
            </w:r>
          </w:p>
        </w:tc>
        <w:tc>
          <w:tcPr>
            <w:tcW w:type="dxa" w:w="388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Describe the needed outcome, not unnecessary implementation detail.</w:t>
            </w:r>
          </w:p>
        </w:tc>
        <w:tc>
          <w:tcPr>
            <w:tcW w:type="dxa" w:w="432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Implement an evidence-based continue/pivot/hold/stop decision record and governance check.</w:t>
            </w:r>
          </w:p>
        </w:tc>
      </w:tr>
    </w:tbl>
    <w:p/>
    <w:p>
      <w:pPr>
        <w:pStyle w:val="Heading1"/>
      </w:pPr>
      <w:r>
        <w:t>12. Prioritization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blHeader w:val="true"/>
        </w:trPr>
        <w:tc>
          <w:tcPr>
            <w:tcW w:type="dxa" w:w="2880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Priority Factor</w:t>
            </w:r>
          </w:p>
        </w:tc>
        <w:tc>
          <w:tcPr>
            <w:tcW w:type="dxa" w:w="7200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Questions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Strategic / value impact</w:t>
            </w:r>
          </w:p>
        </w:tc>
        <w:tc>
          <w:tcPr>
            <w:tcW w:type="dxa" w:w="720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Could the gap materially affect value realization, strategic alignment or portfolio choices?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Risk / responsibility</w:t>
            </w:r>
          </w:p>
        </w:tc>
        <w:tc>
          <w:tcPr>
            <w:tcW w:type="dxa" w:w="720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Could it increase regulatory, ethical, reputational, IP, partner or other material risk?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Systemic reach</w:t>
            </w:r>
          </w:p>
        </w:tc>
        <w:tc>
          <w:tcPr>
            <w:tcW w:type="dxa" w:w="720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Does it affect multiple portfolios, business units or innovation stages?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Dependency</w:t>
            </w:r>
          </w:p>
        </w:tc>
        <w:tc>
          <w:tcPr>
            <w:tcW w:type="dxa" w:w="720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Does implementation of other controls depend on closing this gap first?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Urgency</w:t>
            </w:r>
          </w:p>
        </w:tc>
        <w:tc>
          <w:tcPr>
            <w:tcW w:type="dxa" w:w="720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Is a major review, investment decision or external assessment approaching?</w:t>
            </w:r>
          </w:p>
        </w:tc>
      </w:tr>
    </w:tbl>
    <w:p/>
    <w:p>
      <w:pPr>
        <w:pStyle w:val="Heading1"/>
      </w:pPr>
      <w:r>
        <w:t>13. Gap-to-Action Conversion</w:t>
      </w:r>
    </w:p>
    <w:p>
      <w:pPr>
        <w:pStyle w:val="ListNumber"/>
      </w:pPr>
      <w:r>
        <w:rPr>
          <w:rFonts w:ascii="Cambria" w:hAnsi="Cambria" w:eastAsia="Cambria"/>
          <w:b w:val="0"/>
          <w:i w:val="0"/>
          <w:color w:val="222222"/>
          <w:sz w:val="20"/>
        </w:rPr>
        <w:t>Transfer each validated gap to the action plan using a unique Action ID and source Gap ID.</w:t>
      </w:r>
    </w:p>
    <w:p>
      <w:pPr>
        <w:pStyle w:val="ListNumber"/>
      </w:pPr>
      <w:r>
        <w:rPr>
          <w:rFonts w:ascii="Cambria" w:hAnsi="Cambria" w:eastAsia="Cambria"/>
          <w:b w:val="0"/>
          <w:i w:val="0"/>
          <w:color w:val="222222"/>
          <w:sz w:val="20"/>
        </w:rPr>
        <w:t>Define the intended deliverable/evidence and accountable owner.</w:t>
      </w:r>
    </w:p>
    <w:p>
      <w:pPr>
        <w:pStyle w:val="ListNumber"/>
      </w:pPr>
      <w:r>
        <w:rPr>
          <w:rFonts w:ascii="Cambria" w:hAnsi="Cambria" w:eastAsia="Cambria"/>
          <w:b w:val="0"/>
          <w:i w:val="0"/>
          <w:color w:val="222222"/>
          <w:sz w:val="20"/>
        </w:rPr>
        <w:t>Set due dates based on priority, dependencies and decision cycles.</w:t>
      </w:r>
    </w:p>
    <w:p>
      <w:pPr>
        <w:pStyle w:val="ListNumber"/>
      </w:pPr>
      <w:r>
        <w:rPr>
          <w:rFonts w:ascii="Cambria" w:hAnsi="Cambria" w:eastAsia="Cambria"/>
          <w:b w:val="0"/>
          <w:i w:val="0"/>
          <w:color w:val="222222"/>
          <w:sz w:val="20"/>
        </w:rPr>
        <w:t>Define effectiveness criteria for systemic actions.</w:t>
      </w:r>
    </w:p>
    <w:p>
      <w:pPr>
        <w:pStyle w:val="ListNumber"/>
      </w:pPr>
      <w:r>
        <w:rPr>
          <w:rFonts w:ascii="Cambria" w:hAnsi="Cambria" w:eastAsia="Cambria"/>
          <w:b w:val="0"/>
          <w:i w:val="0"/>
          <w:color w:val="222222"/>
          <w:sz w:val="20"/>
        </w:rPr>
        <w:t>Track Actual Data separately from illustrative examples.</w:t>
      </w:r>
    </w:p>
    <w:p>
      <w:pPr>
        <w:pStyle w:val="ListNumber"/>
      </w:pPr>
      <w:r>
        <w:rPr>
          <w:rFonts w:ascii="Cambria" w:hAnsi="Cambria" w:eastAsia="Cambria"/>
          <w:b w:val="0"/>
          <w:i w:val="0"/>
          <w:color w:val="222222"/>
          <w:sz w:val="20"/>
        </w:rPr>
        <w:t>Review high-priority and overdue actions through innovation governance or management review.</w:t>
      </w:r>
    </w:p>
    <w:p>
      <w:pPr>
        <w:pStyle w:val="Heading1"/>
      </w:pPr>
      <w:r>
        <w:t>14. Deliverables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Completed gap-analysis workbook with traceable evidence.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Executive gap summary grouped by clause area and business impact.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Prioritized action plan with owners, due dates and effectiveness criteria.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Evidence request / limitation log for unresolved assessment areas.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Optional implementation roadmap showing dependencies and governance milestones.</w:t>
      </w:r>
    </w:p>
    <w:p>
      <w:pPr>
        <w:pStyle w:val="Heading1"/>
      </w:pPr>
      <w:r>
        <w:t>15. Quality Assurance Before Issue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blHeader w:val="true"/>
        </w:trPr>
        <w:tc>
          <w:tcPr>
            <w:tcW w:type="dxa" w:w="2448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QA Check</w:t>
            </w:r>
          </w:p>
        </w:tc>
        <w:tc>
          <w:tcPr>
            <w:tcW w:type="dxa" w:w="7632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Acceptance Criterion</w:t>
            </w:r>
          </w:p>
        </w:tc>
      </w:tr>
      <w:tr>
        <w:trPr>
          <w:cantSplit/>
        </w:trPr>
        <w:tc>
          <w:tcPr>
            <w:tcW w:type="dxa" w:w="244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Scope</w:t>
            </w:r>
          </w:p>
        </w:tc>
        <w:tc>
          <w:tcPr>
            <w:tcW w:type="dxa" w:w="763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Boundaries, exclusions and sampled areas are explicit.</w:t>
            </w:r>
          </w:p>
        </w:tc>
      </w:tr>
      <w:tr>
        <w:trPr>
          <w:cantSplit/>
        </w:trPr>
        <w:tc>
          <w:tcPr>
            <w:tcW w:type="dxa" w:w="244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Evidence</w:t>
            </w:r>
          </w:p>
        </w:tc>
        <w:tc>
          <w:tcPr>
            <w:tcW w:type="dxa" w:w="763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Every material conclusion is supported by identifiable evidence.</w:t>
            </w:r>
          </w:p>
        </w:tc>
      </w:tr>
      <w:tr>
        <w:trPr>
          <w:cantSplit/>
        </w:trPr>
        <w:tc>
          <w:tcPr>
            <w:tcW w:type="dxa" w:w="244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Ratings</w:t>
            </w:r>
          </w:p>
        </w:tc>
        <w:tc>
          <w:tcPr>
            <w:tcW w:type="dxa" w:w="763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Ratings are applied consistently across assessors.</w:t>
            </w:r>
          </w:p>
        </w:tc>
      </w:tr>
      <w:tr>
        <w:trPr>
          <w:cantSplit/>
        </w:trPr>
        <w:tc>
          <w:tcPr>
            <w:tcW w:type="dxa" w:w="244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Examples</w:t>
            </w:r>
          </w:p>
        </w:tc>
        <w:tc>
          <w:tcPr>
            <w:tcW w:type="dxa" w:w="763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Illustrative / Example Data is clearly labeled and excluded from Actual reporting.</w:t>
            </w:r>
          </w:p>
        </w:tc>
      </w:tr>
      <w:tr>
        <w:trPr>
          <w:cantSplit/>
        </w:trPr>
        <w:tc>
          <w:tcPr>
            <w:tcW w:type="dxa" w:w="244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Actions</w:t>
            </w:r>
          </w:p>
        </w:tc>
        <w:tc>
          <w:tcPr>
            <w:tcW w:type="dxa" w:w="763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High-priority gaps have owners, due dates and evidence expectations.</w:t>
            </w:r>
          </w:p>
        </w:tc>
      </w:tr>
      <w:tr>
        <w:trPr>
          <w:cantSplit/>
        </w:trPr>
        <w:tc>
          <w:tcPr>
            <w:tcW w:type="dxa" w:w="244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Language</w:t>
            </w:r>
          </w:p>
        </w:tc>
        <w:tc>
          <w:tcPr>
            <w:tcW w:type="dxa" w:w="763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Findings are factual, concise and non-accusatory.</w:t>
            </w:r>
          </w:p>
        </w:tc>
      </w:tr>
      <w:tr>
        <w:trPr>
          <w:cantSplit/>
        </w:trPr>
        <w:tc>
          <w:tcPr>
            <w:tcW w:type="dxa" w:w="244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References</w:t>
            </w:r>
          </w:p>
        </w:tc>
        <w:tc>
          <w:tcPr>
            <w:tcW w:type="dxa" w:w="763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Clause themes are paraphrased and aligned to the licensed standard.</w:t>
            </w:r>
          </w:p>
        </w:tc>
      </w:tr>
    </w:tbl>
    <w:p/>
    <w:p>
      <w:pPr>
        <w:pStyle w:val="Heading1"/>
      </w:pPr>
      <w:r>
        <w:t>Annex A — Gap Analysis Opening Meeting Checklist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blHeader w:val="true"/>
        </w:trPr>
        <w:tc>
          <w:tcPr>
            <w:tcW w:type="dxa" w:w="8640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Check</w:t>
            </w:r>
          </w:p>
        </w:tc>
        <w:tc>
          <w:tcPr>
            <w:tcW w:type="dxa" w:w="1440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Complete</w:t>
            </w:r>
          </w:p>
        </w:tc>
      </w:tr>
      <w:tr>
        <w:trPr>
          <w:cantSplit/>
        </w:trPr>
        <w:tc>
          <w:tcPr>
            <w:tcW w:type="dxa" w:w="864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Objectives and scope confirmed</w:t>
            </w:r>
          </w:p>
        </w:tc>
        <w:tc>
          <w:tcPr>
            <w:tcW w:type="dxa" w:w="144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☐</w:t>
            </w:r>
          </w:p>
        </w:tc>
      </w:tr>
      <w:tr>
        <w:trPr>
          <w:cantSplit/>
        </w:trPr>
        <w:tc>
          <w:tcPr>
            <w:tcW w:type="dxa" w:w="864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Assessment timetable agreed</w:t>
            </w:r>
          </w:p>
        </w:tc>
        <w:tc>
          <w:tcPr>
            <w:tcW w:type="dxa" w:w="144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☐</w:t>
            </w:r>
          </w:p>
        </w:tc>
      </w:tr>
      <w:tr>
        <w:trPr>
          <w:cantSplit/>
        </w:trPr>
        <w:tc>
          <w:tcPr>
            <w:tcW w:type="dxa" w:w="864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Process owners and evidence contacts confirmed</w:t>
            </w:r>
          </w:p>
        </w:tc>
        <w:tc>
          <w:tcPr>
            <w:tcW w:type="dxa" w:w="144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☐</w:t>
            </w:r>
          </w:p>
        </w:tc>
      </w:tr>
      <w:tr>
        <w:trPr>
          <w:cantSplit/>
        </w:trPr>
        <w:tc>
          <w:tcPr>
            <w:tcW w:type="dxa" w:w="864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Confidentiality expectations confirmed</w:t>
            </w:r>
          </w:p>
        </w:tc>
        <w:tc>
          <w:tcPr>
            <w:tcW w:type="dxa" w:w="144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☐</w:t>
            </w:r>
          </w:p>
        </w:tc>
      </w:tr>
      <w:tr>
        <w:trPr>
          <w:cantSplit/>
        </w:trPr>
        <w:tc>
          <w:tcPr>
            <w:tcW w:type="dxa" w:w="864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Sampling approach explained</w:t>
            </w:r>
          </w:p>
        </w:tc>
        <w:tc>
          <w:tcPr>
            <w:tcW w:type="dxa" w:w="144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☐</w:t>
            </w:r>
          </w:p>
        </w:tc>
      </w:tr>
      <w:tr>
        <w:trPr>
          <w:cantSplit/>
        </w:trPr>
        <w:tc>
          <w:tcPr>
            <w:tcW w:type="dxa" w:w="864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Daily / close-out communication agreed</w:t>
            </w:r>
          </w:p>
        </w:tc>
        <w:tc>
          <w:tcPr>
            <w:tcW w:type="dxa" w:w="144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☐</w:t>
            </w:r>
          </w:p>
        </w:tc>
      </w:tr>
      <w:tr>
        <w:trPr>
          <w:cantSplit/>
        </w:trPr>
        <w:tc>
          <w:tcPr>
            <w:tcW w:type="dxa" w:w="864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Assessment limitations identified</w:t>
            </w:r>
          </w:p>
        </w:tc>
        <w:tc>
          <w:tcPr>
            <w:tcW w:type="dxa" w:w="144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☐</w:t>
            </w:r>
          </w:p>
        </w:tc>
      </w:tr>
    </w:tbl>
    <w:p/>
    <w:p>
      <w:pPr>
        <w:pStyle w:val="Heading1"/>
      </w:pPr>
      <w:r>
        <w:t>Annex B — Evidence Request Log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42"/>
        <w:gridCol w:w="1442"/>
        <w:gridCol w:w="1442"/>
        <w:gridCol w:w="1442"/>
        <w:gridCol w:w="1442"/>
        <w:gridCol w:w="1442"/>
        <w:gridCol w:w="1442"/>
      </w:tblGrid>
      <w:tr>
        <w:trPr>
          <w:tblHeader w:val="true"/>
        </w:trPr>
        <w:tc>
          <w:tcPr>
            <w:tcW w:type="dxa" w:w="1152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Request ID</w:t>
            </w:r>
          </w:p>
        </w:tc>
        <w:tc>
          <w:tcPr>
            <w:tcW w:type="dxa" w:w="3024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Evidence Requested</w:t>
            </w:r>
          </w:p>
        </w:tc>
        <w:tc>
          <w:tcPr>
            <w:tcW w:type="dxa" w:w="1440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Owner</w:t>
            </w:r>
          </w:p>
        </w:tc>
        <w:tc>
          <w:tcPr>
            <w:tcW w:type="dxa" w:w="1296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Requested Date</w:t>
            </w:r>
          </w:p>
        </w:tc>
        <w:tc>
          <w:tcPr>
            <w:tcW w:type="dxa" w:w="1296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Due Date</w:t>
            </w:r>
          </w:p>
        </w:tc>
        <w:tc>
          <w:tcPr>
            <w:tcW w:type="dxa" w:w="1152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Status</w:t>
            </w:r>
          </w:p>
        </w:tc>
        <w:tc>
          <w:tcPr>
            <w:tcW w:type="dxa" w:w="1728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Reference / Notes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302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44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29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29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1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72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302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44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29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29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1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72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302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44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29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29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1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72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302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44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29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29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1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72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302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44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29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29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1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72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302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44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29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29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1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72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302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44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29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29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1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72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302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44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29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29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1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72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</w:tbl>
    <w:p/>
    <w:p>
      <w:pPr>
        <w:pStyle w:val="Heading1"/>
      </w:pPr>
      <w:r>
        <w:t>Annex C — Assessment Summary Template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82"/>
        <w:gridCol w:w="1682"/>
        <w:gridCol w:w="1682"/>
        <w:gridCol w:w="1682"/>
        <w:gridCol w:w="1682"/>
        <w:gridCol w:w="1682"/>
      </w:tblGrid>
      <w:tr>
        <w:trPr>
          <w:tblHeader w:val="true"/>
        </w:trPr>
        <w:tc>
          <w:tcPr>
            <w:tcW w:type="dxa" w:w="2304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Clause Area</w:t>
            </w:r>
          </w:p>
        </w:tc>
        <w:tc>
          <w:tcPr>
            <w:tcW w:type="dxa" w:w="1584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Fully Implemented</w:t>
            </w:r>
          </w:p>
        </w:tc>
        <w:tc>
          <w:tcPr>
            <w:tcW w:type="dxa" w:w="1728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Partially Implemented</w:t>
            </w:r>
          </w:p>
        </w:tc>
        <w:tc>
          <w:tcPr>
            <w:tcW w:type="dxa" w:w="1584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Not Implemented</w:t>
            </w:r>
          </w:p>
        </w:tc>
        <w:tc>
          <w:tcPr>
            <w:tcW w:type="dxa" w:w="1008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N/A</w:t>
            </w:r>
          </w:p>
        </w:tc>
        <w:tc>
          <w:tcPr>
            <w:tcW w:type="dxa" w:w="3168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Priority Themes</w:t>
            </w:r>
          </w:p>
        </w:tc>
      </w:tr>
      <w:tr>
        <w:trPr>
          <w:cantSplit/>
        </w:trPr>
        <w:tc>
          <w:tcPr>
            <w:tcW w:type="dxa" w:w="230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Context</w:t>
            </w:r>
          </w:p>
        </w:tc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72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00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316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230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Leadership</w:t>
            </w:r>
          </w:p>
        </w:tc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72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00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316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230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Planning</w:t>
            </w:r>
          </w:p>
        </w:tc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72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00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316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230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Support</w:t>
            </w:r>
          </w:p>
        </w:tc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72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00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316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230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Operation</w:t>
            </w:r>
          </w:p>
        </w:tc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72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00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316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230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Performance Evaluation</w:t>
            </w:r>
          </w:p>
        </w:tc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72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00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316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230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Improvement</w:t>
            </w:r>
          </w:p>
        </w:tc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72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00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316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</w:tbl>
    <w:p/>
    <w:p>
      <w:pPr>
        <w:pStyle w:val="Heading1"/>
      </w:pPr>
      <w:r>
        <w:t>References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rPr>
          <w:tblHeader w:val="true"/>
        </w:trPr>
        <w:tc>
          <w:tcPr>
            <w:tcW w:type="dxa" w:w="2088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6"/>
              </w:rPr>
              <w:t>Reference</w:t>
            </w:r>
          </w:p>
        </w:tc>
        <w:tc>
          <w:tcPr>
            <w:tcW w:type="dxa" w:w="5256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6"/>
              </w:rPr>
              <w:t>Title</w:t>
            </w:r>
          </w:p>
        </w:tc>
        <w:tc>
          <w:tcPr>
            <w:tcW w:type="dxa" w:w="2952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6"/>
              </w:rPr>
              <w:t>Official Source</w:t>
            </w:r>
          </w:p>
        </w:tc>
      </w:tr>
      <w:tr>
        <w:trPr>
          <w:cantSplit/>
        </w:trPr>
        <w:tc>
          <w:tcPr>
            <w:tcW w:type="dxa" w:w="208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ISO 56001:2024</w:t>
            </w:r>
          </w:p>
        </w:tc>
        <w:tc>
          <w:tcPr>
            <w:tcW w:type="dxa" w:w="525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Innovation management system — Requirements</w:t>
            </w:r>
          </w:p>
        </w:tc>
        <w:tc>
          <w:tcPr>
            <w:tcW w:type="dxa" w:w="29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https://www.iso.org/standard/79278.html</w:t>
            </w:r>
          </w:p>
        </w:tc>
      </w:tr>
      <w:tr>
        <w:trPr>
          <w:cantSplit/>
        </w:trPr>
        <w:tc>
          <w:tcPr>
            <w:tcW w:type="dxa" w:w="208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ISO 56000:2025</w:t>
            </w:r>
          </w:p>
        </w:tc>
        <w:tc>
          <w:tcPr>
            <w:tcW w:type="dxa" w:w="525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Innovation management — Fundamentals and vocabulary</w:t>
            </w:r>
          </w:p>
        </w:tc>
        <w:tc>
          <w:tcPr>
            <w:tcW w:type="dxa" w:w="29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https://www.iso.org/standard/84436.html</w:t>
            </w:r>
          </w:p>
        </w:tc>
      </w:tr>
      <w:tr>
        <w:trPr>
          <w:cantSplit/>
        </w:trPr>
        <w:tc>
          <w:tcPr>
            <w:tcW w:type="dxa" w:w="208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ISO 56002:2019</w:t>
            </w:r>
          </w:p>
        </w:tc>
        <w:tc>
          <w:tcPr>
            <w:tcW w:type="dxa" w:w="525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Innovation management — Innovation management system — Guidance</w:t>
            </w:r>
          </w:p>
        </w:tc>
        <w:tc>
          <w:tcPr>
            <w:tcW w:type="dxa" w:w="29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https://www.iso.org/standard/68221.html</w:t>
            </w:r>
          </w:p>
        </w:tc>
      </w:tr>
      <w:tr>
        <w:trPr>
          <w:cantSplit/>
        </w:trPr>
        <w:tc>
          <w:tcPr>
            <w:tcW w:type="dxa" w:w="208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ISO 56005:2020</w:t>
            </w:r>
          </w:p>
        </w:tc>
        <w:tc>
          <w:tcPr>
            <w:tcW w:type="dxa" w:w="525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Innovation management — Tools and methods for intellectual property management — Guidance</w:t>
            </w:r>
          </w:p>
        </w:tc>
        <w:tc>
          <w:tcPr>
            <w:tcW w:type="dxa" w:w="29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https://www.iso.org/standard/68998.html</w:t>
            </w:r>
          </w:p>
        </w:tc>
      </w:tr>
      <w:tr>
        <w:trPr>
          <w:cantSplit/>
        </w:trPr>
        <w:tc>
          <w:tcPr>
            <w:tcW w:type="dxa" w:w="208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ISO 56006:2021</w:t>
            </w:r>
          </w:p>
        </w:tc>
        <w:tc>
          <w:tcPr>
            <w:tcW w:type="dxa" w:w="525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Innovation management — Tools and methods for strategic intelligence management — Guidance</w:t>
            </w:r>
          </w:p>
        </w:tc>
        <w:tc>
          <w:tcPr>
            <w:tcW w:type="dxa" w:w="29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https://www.iso.org/standard/72621.html</w:t>
            </w:r>
          </w:p>
        </w:tc>
      </w:tr>
      <w:tr>
        <w:trPr>
          <w:cantSplit/>
        </w:trPr>
        <w:tc>
          <w:tcPr>
            <w:tcW w:type="dxa" w:w="208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ISO 56007:2023</w:t>
            </w:r>
          </w:p>
        </w:tc>
        <w:tc>
          <w:tcPr>
            <w:tcW w:type="dxa" w:w="525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Innovation management — Tools and methods for managing opportunities and ideas — Guidance</w:t>
            </w:r>
          </w:p>
        </w:tc>
        <w:tc>
          <w:tcPr>
            <w:tcW w:type="dxa" w:w="29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https://www.iso.org/standard/75068.html</w:t>
            </w:r>
          </w:p>
        </w:tc>
      </w:tr>
      <w:tr>
        <w:trPr>
          <w:cantSplit/>
        </w:trPr>
        <w:tc>
          <w:tcPr>
            <w:tcW w:type="dxa" w:w="208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ISO 56008:2024</w:t>
            </w:r>
          </w:p>
        </w:tc>
        <w:tc>
          <w:tcPr>
            <w:tcW w:type="dxa" w:w="525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Innovation management — Tools and methods for innovation operation measurements — Guidance</w:t>
            </w:r>
          </w:p>
        </w:tc>
        <w:tc>
          <w:tcPr>
            <w:tcW w:type="dxa" w:w="29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https://www.iso.org/standard/78485.html</w:t>
            </w:r>
          </w:p>
        </w:tc>
      </w:tr>
    </w:tbl>
    <w:p/>
    <w:p>
      <w:pPr>
        <w:pStyle w:val="ToolkitNote"/>
      </w:pPr>
      <w:r>
        <w:rPr>
          <w:rFonts w:ascii="Cambria" w:hAnsi="Cambria" w:eastAsia="Cambria"/>
          <w:b w:val="0"/>
          <w:i/>
          <w:color w:val="C00000"/>
          <w:sz w:val="18"/>
        </w:rPr>
        <w:t>[Note] ISO standards are copyrighted. This toolkit paraphrases management-system concepts and does not reproduce the standard text. Clause references should be verified against the organization’s licensed copy of the applicable standard.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850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Look w:firstColumn="1" w:firstRow="1" w:lastColumn="0" w:lastRow="0" w:noHBand="0" w:noVBand="1" w:val="04A0"/>
    </w:tblPr>
    <w:tblGrid>
      <w:gridCol w:w="3360"/>
      <w:gridCol w:w="3360"/>
      <w:gridCol w:w="3360"/>
    </w:tblGrid>
    <w:tr>
      <w:tc>
        <w:tcPr>
          <w:tcW w:type="dxa" w:w="3360"/>
          <w:tcMar>
            <w:top w:w="30" w:type="dxa"/>
            <w:start w:w="60" w:type="dxa"/>
            <w:bottom w:w="30" w:type="dxa"/>
            <w:end w:w="60" w:type="dxa"/>
          </w:tcMar>
        </w:tcPr>
        <w:p>
          <w:pPr>
            <w:jc w:val="left"/>
          </w:pPr>
          <w:r>
            <w:rPr>
              <w:rFonts w:ascii="Cambria" w:hAnsi="Cambria" w:eastAsia="Cambria"/>
              <w:b w:val="0"/>
              <w:i w:val="0"/>
              <w:color w:val="666666"/>
              <w:sz w:val="16"/>
            </w:rPr>
            <w:t>www.iso-toolkits.org</w:t>
          </w:r>
        </w:p>
      </w:tc>
      <w:tc>
        <w:tcPr>
          <w:tcW w:type="dxa" w:w="3360"/>
          <w:tcMar>
            <w:top w:w="30" w:type="dxa"/>
            <w:start w:w="60" w:type="dxa"/>
            <w:bottom w:w="30" w:type="dxa"/>
            <w:end w:w="60" w:type="dxa"/>
          </w:tcMar>
        </w:tcPr>
        <w:p>
          <w:pPr>
            <w:jc w:val="center"/>
          </w:pPr>
          <w:r>
            <w:rPr>
              <w:rFonts w:ascii="Cambria" w:hAnsi="Cambria" w:eastAsia="Cambria"/>
              <w:b w:val="0"/>
              <w:i w:val="0"/>
              <w:color w:val="666666"/>
              <w:sz w:val="16"/>
            </w:rPr>
            <w:t>info@iso-toolkits.org</w:t>
          </w:r>
        </w:p>
      </w:tc>
      <w:tc>
        <w:tcPr>
          <w:tcW w:type="dxa" w:w="3360"/>
          <w:tcMar>
            <w:top w:w="30" w:type="dxa"/>
            <w:start w:w="60" w:type="dxa"/>
            <w:bottom w:w="30" w:type="dxa"/>
            <w:end w:w="60" w:type="dxa"/>
          </w:tcMar>
        </w:tcPr>
        <w:p>
          <w:pPr>
            <w:jc w:val="right"/>
          </w:pPr>
          <w:r>
            <w:rPr>
              <w:rFonts w:ascii="Cambria" w:hAnsi="Cambria" w:eastAsia="Cambria"/>
              <w:b w:val="0"/>
              <w:i w:val="0"/>
              <w:color w:val="666666"/>
              <w:sz w:val="16"/>
            </w:rPr>
            <w:t xml:space="preserve">Page </w:t>
          </w:r>
          <w:r>
            <w:fldChar w:fldCharType="begin"/>
            <w:instrText xml:space="preserve">PAGE</w:instrText>
            <w:fldChar w:fldCharType="end"/>
          </w:r>
          <w:r>
            <w:rPr>
              <w:rFonts w:ascii="Cambria" w:hAnsi="Cambria" w:eastAsia="Cambria"/>
              <w:b w:val="0"/>
              <w:i w:val="0"/>
              <w:color w:val="666666"/>
              <w:sz w:val="16"/>
            </w:rPr>
            <w:t xml:space="preserve"> of </w:t>
          </w:r>
          <w:r>
            <w:fldChar w:fldCharType="begin"/>
            <w:instrText xml:space="preserve">NUMPAGES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Look w:firstColumn="1" w:firstRow="1" w:lastColumn="0" w:lastRow="0" w:noHBand="0" w:noVBand="1" w:val="04A0"/>
    </w:tblPr>
    <w:tblGrid>
      <w:gridCol w:w="3360"/>
      <w:gridCol w:w="3360"/>
      <w:gridCol w:w="3360"/>
    </w:tblGrid>
    <w:tr>
      <w:tc>
        <w:tcPr>
          <w:tcW w:type="dxa" w:w="4176"/>
          <w:vAlign w:val="center"/>
          <w:shd w:fill="F5F8FB"/>
          <w:tcMar>
            <w:top w:w="40" w:type="dxa"/>
            <w:start w:w="70" w:type="dxa"/>
            <w:bottom w:w="40" w:type="dxa"/>
            <w:end w:w="70" w:type="dxa"/>
          </w:tcMar>
        </w:tcPr>
        <w:p>
          <w:pPr>
            <w:jc w:val="left"/>
          </w:pPr>
          <w:r>
            <w:rPr>
              <w:rFonts w:ascii="Cambria" w:hAnsi="Cambria" w:eastAsia="Cambria"/>
              <w:b/>
              <w:i w:val="0"/>
              <w:color w:val="1F4E79"/>
              <w:sz w:val="16"/>
            </w:rPr>
            <w:t>Innovation Gap Analysis Guidance</w:t>
          </w:r>
        </w:p>
      </w:tc>
      <w:tc>
        <w:tcPr>
          <w:tcW w:type="dxa" w:w="2880"/>
          <w:vAlign w:val="center"/>
          <w:shd w:fill="F5F8FB"/>
          <w:tcMar>
            <w:top w:w="40" w:type="dxa"/>
            <w:start w:w="70" w:type="dxa"/>
            <w:bottom w:w="40" w:type="dxa"/>
            <w:end w:w="70" w:type="dxa"/>
          </w:tcMar>
        </w:tcPr>
        <w:p>
          <w:pPr>
            <w:jc w:val="center"/>
          </w:pPr>
          <w:r>
            <w:rPr>
              <w:rFonts w:ascii="Cambria" w:hAnsi="Cambria" w:eastAsia="Cambria"/>
              <w:b w:val="0"/>
              <w:i w:val="0"/>
              <w:color w:val="222222"/>
              <w:sz w:val="16"/>
            </w:rPr>
            <w:t>INMS-GOV-001 | Version 1.0</w:t>
          </w:r>
        </w:p>
      </w:tc>
      <w:tc>
        <w:tcPr>
          <w:tcW w:type="dxa" w:w="3024"/>
          <w:vAlign w:val="center"/>
          <w:shd w:fill="F5F8FB"/>
          <w:tcMar>
            <w:top w:w="40" w:type="dxa"/>
            <w:start w:w="70" w:type="dxa"/>
            <w:bottom w:w="40" w:type="dxa"/>
            <w:end w:w="70" w:type="dxa"/>
          </w:tcMar>
        </w:tcPr>
        <w:p>
          <w:pPr>
            <w:jc w:val="right"/>
          </w:pPr>
          <w:r>
            <w:rPr>
              <w:rFonts w:ascii="Cambria" w:hAnsi="Cambria" w:eastAsia="Cambria"/>
              <w:b w:val="0"/>
              <w:i w:val="0"/>
              <w:color w:val="222222"/>
              <w:sz w:val="16"/>
            </w:rPr>
            <w:t>Classification: INTERNAL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mbria" w:hAnsi="Cambria"/>
      <w:color w:val="222222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Cambria" w:hAnsi="Cambria"/>
      <w:b/>
      <w:bCs/>
      <w:color w:val="1F4E79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Cambria" w:hAnsi="Cambria"/>
      <w:b/>
      <w:bCs/>
      <w:color w:val="1F4E79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mbria" w:hAnsi="Cambria"/>
      <w:b/>
      <w:bCs/>
      <w:color w:val="3F3F3F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mbria" w:hAnsi="Cambria"/>
      <w:b/>
      <w:color w:val="1F4E7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olkitNote">
    <w:name w:val="Toolkit Note"/>
    <w:pPr>
      <w:spacing w:before="60" w:after="100"/>
    </w:pPr>
    <w:rPr>
      <w:rFonts w:ascii="Cambria" w:hAnsi="Cambria"/>
      <w:i/>
      <w:color w:val="C00000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Innovation Gap Analysis Guidance</dc:title>
  <dc:subject>ISO 56001:2024 innovation management toolkit</dc:subject>
  <dc:creator>ISO Toolkits</dc:creator>
  <cp:keywords>ISO 56001, innovation management, toolkit, audit, guidance, manual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