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Title"/>
        <w:jc w:val="center"/>
      </w:pPr>
      <w:r>
        <w:rPr>
          <w:rFonts w:ascii="Cambria" w:hAnsi="Cambria" w:eastAsia="Cambria"/>
          <w:b/>
          <w:i w:val="0"/>
          <w:color w:val="1F4E79"/>
          <w:sz w:val="36"/>
        </w:rPr>
        <w:t>Innovation Audit Guidance</w:t>
      </w:r>
    </w:p>
    <w:p>
      <w:pPr>
        <w:jc w:val="center"/>
      </w:pPr>
      <w:r>
        <w:rPr>
          <w:rFonts w:ascii="Cambria" w:hAnsi="Cambria" w:eastAsia="Cambria"/>
          <w:b/>
          <w:i w:val="0"/>
          <w:color w:val="666666"/>
          <w:sz w:val="22"/>
        </w:rPr>
        <w:t>ISO 56001:2024 TOOLKIT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2880"/>
            <w:shd w:fill="D9EAF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9"/>
              </w:rPr>
              <w:t>Document Code</w:t>
            </w:r>
          </w:p>
        </w:tc>
        <w:tc>
          <w:tcPr>
            <w:tcW w:type="dxa" w:w="662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9"/>
              </w:rPr>
              <w:t>INMS-GOV-004</w:t>
            </w:r>
          </w:p>
        </w:tc>
      </w:tr>
      <w:tr>
        <w:tc>
          <w:tcPr>
            <w:tcW w:type="dxa" w:w="2880"/>
            <w:shd w:fill="D9EAF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9"/>
              </w:rPr>
              <w:t>Document Type</w:t>
            </w:r>
          </w:p>
        </w:tc>
        <w:tc>
          <w:tcPr>
            <w:tcW w:type="dxa" w:w="662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9"/>
              </w:rPr>
              <w:t>Guidance</w:t>
            </w:r>
          </w:p>
        </w:tc>
      </w:tr>
      <w:tr>
        <w:tc>
          <w:tcPr>
            <w:tcW w:type="dxa" w:w="2880"/>
            <w:shd w:fill="D9EAF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9"/>
              </w:rPr>
              <w:t>Version</w:t>
            </w:r>
          </w:p>
        </w:tc>
        <w:tc>
          <w:tcPr>
            <w:tcW w:type="dxa" w:w="662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9"/>
              </w:rPr>
              <w:t>1.0</w:t>
            </w:r>
          </w:p>
        </w:tc>
      </w:tr>
      <w:tr>
        <w:tc>
          <w:tcPr>
            <w:tcW w:type="dxa" w:w="2880"/>
            <w:shd w:fill="D9EAF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9"/>
              </w:rPr>
              <w:t>Effective Date</w:t>
            </w:r>
          </w:p>
        </w:tc>
        <w:tc>
          <w:tcPr>
            <w:tcW w:type="dxa" w:w="662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9"/>
              </w:rPr>
              <w:t>2026-09-19</w:t>
            </w:r>
          </w:p>
        </w:tc>
      </w:tr>
      <w:tr>
        <w:tc>
          <w:tcPr>
            <w:tcW w:type="dxa" w:w="2880"/>
            <w:shd w:fill="D9EAF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9"/>
              </w:rPr>
              <w:t>Classification</w:t>
            </w:r>
          </w:p>
        </w:tc>
        <w:tc>
          <w:tcPr>
            <w:tcW w:type="dxa" w:w="662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9"/>
              </w:rPr>
              <w:t>INTERNAL</w:t>
            </w:r>
          </w:p>
        </w:tc>
      </w:tr>
      <w:tr>
        <w:tc>
          <w:tcPr>
            <w:tcW w:type="dxa" w:w="2880"/>
            <w:shd w:fill="D9EAF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9"/>
              </w:rPr>
              <w:t>Organization</w:t>
            </w:r>
          </w:p>
        </w:tc>
        <w:tc>
          <w:tcPr>
            <w:tcW w:type="dxa" w:w="662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9"/>
              </w:rPr>
              <w:t>[ORGANIZATION NAME]</w:t>
            </w:r>
          </w:p>
        </w:tc>
      </w:tr>
    </w:tbl>
    <w:p/>
    <w:p>
      <w:pPr>
        <w:jc w:val="center"/>
      </w:pPr>
      <w:r>
        <w:rPr>
          <w:rFonts w:ascii="Cambria" w:hAnsi="Cambria" w:eastAsia="Cambria"/>
          <w:b w:val="0"/>
          <w:i w:val="0"/>
          <w:color w:val="404040"/>
          <w:sz w:val="21"/>
        </w:rPr>
        <w:t>Practical guidance for planning and conducting evidence-based internal innovation audits that evaluate ISO 56001 implementation, effectiveness, governance, learning and value realization without penalizing responsible experimentation.</w:t>
      </w:r>
    </w:p>
    <w:p/>
    <w:p>
      <w:pPr>
        <w:pStyle w:val="ToolkitNote"/>
        <w:jc w:val="center"/>
      </w:pPr>
      <w:r>
        <w:t>Template / guidance content must be tailored, approved and controlled by the organization before formal use.</w:t>
      </w:r>
    </w:p>
    <w:p>
      <w:r>
        <w:br w:type="page"/>
      </w:r>
    </w:p>
    <w:p>
      <w:pPr>
        <w:pStyle w:val="Heading1"/>
      </w:pPr>
      <w:r>
        <w:t>Document Control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blHeader w:val="true"/>
        </w:trPr>
        <w:tc>
          <w:tcPr>
            <w:tcW w:type="dxa" w:w="2880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Field</w:t>
            </w:r>
          </w:p>
        </w:tc>
        <w:tc>
          <w:tcPr>
            <w:tcW w:type="dxa" w:w="6912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Requirement / Entry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Document code</w:t>
            </w:r>
          </w:p>
        </w:tc>
        <w:tc>
          <w:tcPr>
            <w:tcW w:type="dxa" w:w="69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INMS-GOV-004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Version</w:t>
            </w:r>
          </w:p>
        </w:tc>
        <w:tc>
          <w:tcPr>
            <w:tcW w:type="dxa" w:w="69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1.0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Classification</w:t>
            </w:r>
          </w:p>
        </w:tc>
        <w:tc>
          <w:tcPr>
            <w:tcW w:type="dxa" w:w="69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INTERNAL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Document owner</w:t>
            </w:r>
          </w:p>
        </w:tc>
        <w:tc>
          <w:tcPr>
            <w:tcW w:type="dxa" w:w="69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[DOCUMENT OWNER]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Approved by</w:t>
            </w:r>
          </w:p>
        </w:tc>
        <w:tc>
          <w:tcPr>
            <w:tcW w:type="dxa" w:w="69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[APPROVER]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Effective date</w:t>
            </w:r>
          </w:p>
        </w:tc>
        <w:tc>
          <w:tcPr>
            <w:tcW w:type="dxa" w:w="69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2026-09-19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Next review date</w:t>
            </w:r>
          </w:p>
        </w:tc>
        <w:tc>
          <w:tcPr>
            <w:tcW w:type="dxa" w:w="69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[REVIEW DATE]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Controlled location</w:t>
            </w:r>
          </w:p>
        </w:tc>
        <w:tc>
          <w:tcPr>
            <w:tcW w:type="dxa" w:w="69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[CONTROLLED REPOSITORY / URL]</w:t>
            </w:r>
          </w:p>
        </w:tc>
      </w:tr>
    </w:tbl>
    <w:p/>
    <w:p>
      <w:pPr>
        <w:pStyle w:val="Heading2"/>
      </w:pPr>
      <w:r>
        <w:t>Approval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rPr>
          <w:tblHeader w:val="true"/>
        </w:trPr>
        <w:tc>
          <w:tcPr>
            <w:tcW w:type="dxa" w:w="1872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Role</w:t>
            </w:r>
          </w:p>
        </w:tc>
        <w:tc>
          <w:tcPr>
            <w:tcW w:type="dxa" w:w="2592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Name</w:t>
            </w:r>
          </w:p>
        </w:tc>
        <w:tc>
          <w:tcPr>
            <w:tcW w:type="dxa" w:w="3888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Signature / Electronic Approval</w:t>
            </w:r>
          </w:p>
        </w:tc>
        <w:tc>
          <w:tcPr>
            <w:tcW w:type="dxa" w:w="1728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Date</w:t>
            </w:r>
          </w:p>
        </w:tc>
      </w:tr>
      <w:tr>
        <w:trPr>
          <w:cantSplit/>
        </w:trPr>
        <w:tc>
          <w:tcPr>
            <w:tcW w:type="dxa" w:w="187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Prepared by</w:t>
            </w:r>
          </w:p>
        </w:tc>
        <w:tc>
          <w:tcPr>
            <w:tcW w:type="dxa" w:w="25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[NAME]</w:t>
            </w:r>
          </w:p>
        </w:tc>
        <w:tc>
          <w:tcPr>
            <w:tcW w:type="dxa" w:w="388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[APPROVAL]</w:t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[DATE]</w:t>
            </w:r>
          </w:p>
        </w:tc>
      </w:tr>
      <w:tr>
        <w:trPr>
          <w:cantSplit/>
        </w:trPr>
        <w:tc>
          <w:tcPr>
            <w:tcW w:type="dxa" w:w="187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Reviewed by</w:t>
            </w:r>
          </w:p>
        </w:tc>
        <w:tc>
          <w:tcPr>
            <w:tcW w:type="dxa" w:w="25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[NAME]</w:t>
            </w:r>
          </w:p>
        </w:tc>
        <w:tc>
          <w:tcPr>
            <w:tcW w:type="dxa" w:w="388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[APPROVAL]</w:t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[DATE]</w:t>
            </w:r>
          </w:p>
        </w:tc>
      </w:tr>
      <w:tr>
        <w:trPr>
          <w:cantSplit/>
        </w:trPr>
        <w:tc>
          <w:tcPr>
            <w:tcW w:type="dxa" w:w="187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Approved by</w:t>
            </w:r>
          </w:p>
        </w:tc>
        <w:tc>
          <w:tcPr>
            <w:tcW w:type="dxa" w:w="25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[NAME]</w:t>
            </w:r>
          </w:p>
        </w:tc>
        <w:tc>
          <w:tcPr>
            <w:tcW w:type="dxa" w:w="388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[APPROVAL]</w:t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[DATE]</w:t>
            </w:r>
          </w:p>
        </w:tc>
      </w:tr>
    </w:tbl>
    <w:p/>
    <w:p>
      <w:pPr>
        <w:pStyle w:val="Heading2"/>
      </w:pPr>
      <w:r>
        <w:t>Revision History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rPr>
          <w:tblHeader w:val="true"/>
        </w:trPr>
        <w:tc>
          <w:tcPr>
            <w:tcW w:type="dxa" w:w="1440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Version</w:t>
            </w:r>
          </w:p>
        </w:tc>
        <w:tc>
          <w:tcPr>
            <w:tcW w:type="dxa" w:w="1872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Date</w:t>
            </w:r>
          </w:p>
        </w:tc>
        <w:tc>
          <w:tcPr>
            <w:tcW w:type="dxa" w:w="5472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Change Summary</w:t>
            </w:r>
          </w:p>
        </w:tc>
        <w:tc>
          <w:tcPr>
            <w:tcW w:type="dxa" w:w="1440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Approved By</w:t>
            </w:r>
          </w:p>
        </w:tc>
      </w:tr>
      <w:tr>
        <w:trPr>
          <w:cantSplit/>
        </w:trPr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1.0</w:t>
            </w:r>
          </w:p>
        </w:tc>
        <w:tc>
          <w:tcPr>
            <w:tcW w:type="dxa" w:w="187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2026-09-19</w:t>
            </w:r>
          </w:p>
        </w:tc>
        <w:tc>
          <w:tcPr>
            <w:tcW w:type="dxa" w:w="547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Initial toolkit issue</w:t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[APPROVER]</w:t>
            </w:r>
          </w:p>
        </w:tc>
      </w:tr>
      <w:tr>
        <w:trPr>
          <w:cantSplit/>
        </w:trPr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87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547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87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547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</w:tbl>
    <w:p/>
    <w:p>
      <w:pPr>
        <w:pStyle w:val="Heading1"/>
      </w:pPr>
      <w:r>
        <w:t>Document Contents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blHeader w:val="true"/>
        </w:trPr>
        <w:tc>
          <w:tcPr>
            <w:tcW w:type="dxa" w:w="1152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8"/>
              </w:rPr>
              <w:t>Section</w:t>
            </w:r>
          </w:p>
        </w:tc>
        <w:tc>
          <w:tcPr>
            <w:tcW w:type="dxa" w:w="8928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8"/>
              </w:rPr>
              <w:t>Content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1</w:t>
            </w:r>
          </w:p>
        </w:tc>
        <w:tc>
          <w:tcPr>
            <w:tcW w:type="dxa" w:w="89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Purpose and audit philosophy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2</w:t>
            </w:r>
          </w:p>
        </w:tc>
        <w:tc>
          <w:tcPr>
            <w:tcW w:type="dxa" w:w="89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Roles, competence and independence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3</w:t>
            </w:r>
          </w:p>
        </w:tc>
        <w:tc>
          <w:tcPr>
            <w:tcW w:type="dxa" w:w="89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Risk-based audit programme design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4</w:t>
            </w:r>
          </w:p>
        </w:tc>
        <w:tc>
          <w:tcPr>
            <w:tcW w:type="dxa" w:w="89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Audit planning and sampling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5</w:t>
            </w:r>
          </w:p>
        </w:tc>
        <w:tc>
          <w:tcPr>
            <w:tcW w:type="dxa" w:w="89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Innovation-specific audit trails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6</w:t>
            </w:r>
          </w:p>
        </w:tc>
        <w:tc>
          <w:tcPr>
            <w:tcW w:type="dxa" w:w="89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Interview and evidence techniques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7</w:t>
            </w:r>
          </w:p>
        </w:tc>
        <w:tc>
          <w:tcPr>
            <w:tcW w:type="dxa" w:w="89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Evaluating uncertainty, experimentation and failure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8</w:t>
            </w:r>
          </w:p>
        </w:tc>
        <w:tc>
          <w:tcPr>
            <w:tcW w:type="dxa" w:w="89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Finding formulation and classification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9</w:t>
            </w:r>
          </w:p>
        </w:tc>
        <w:tc>
          <w:tcPr>
            <w:tcW w:type="dxa" w:w="89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Reporting, corrective action and follow-up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10</w:t>
            </w:r>
          </w:p>
        </w:tc>
        <w:tc>
          <w:tcPr>
            <w:tcW w:type="dxa" w:w="89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Annexes: audit prompts and illustrative audit trails</w:t>
            </w:r>
          </w:p>
        </w:tc>
      </w:tr>
    </w:tbl>
    <w:p/>
    <w:p>
      <w:pPr>
        <w:pStyle w:val="Heading1"/>
      </w:pPr>
      <w:r>
        <w:t>1. Purpose</w:t>
      </w:r>
    </w:p>
    <w:p>
      <w:r>
        <w:rPr>
          <w:rFonts w:ascii="Cambria" w:hAnsi="Cambria" w:eastAsia="Cambria"/>
          <w:b w:val="0"/>
          <w:i w:val="0"/>
          <w:color w:val="222222"/>
          <w:sz w:val="21"/>
        </w:rPr>
        <w:t>This guidance helps internal auditors and Innovation Management System (IMS) owners audit ISO 56001:2024 in a way that evaluates real governance, decisions, evidence, learning and value creation rather than simply checking whether documents exist.</w:t>
      </w:r>
    </w:p>
    <w:p>
      <w:pPr>
        <w:pStyle w:val="Heading1"/>
      </w:pPr>
      <w:r>
        <w:t>2. Audit Philosophy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Audit the management system, not whether every innovation initiative succeeds. Responsible experiments may fail while the innovation management system remains effective.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Focus on whether uncertainty is made visible, assumptions are tested, evidence is used, decisions are traceable and learning is retained.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Evaluate whether innovation intent, strategy, portfolios, initiatives, resources and measurements are connected rather than operating as isolated activities.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Test value realization discipline. Activity volume such as idea counts or project counts should not substitute for evidence of learning, portfolio quality or realized value.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Use risk-based sampling and increase depth where decisions involve material investment, sensitive intellectual property, external collaboration, ethical/regulatory exposure or high strategic importance.</w:t>
      </w:r>
    </w:p>
    <w:p>
      <w:pPr>
        <w:pStyle w:val="Heading1"/>
      </w:pPr>
      <w:r>
        <w:t>3. Roles and Responsibilities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blHeader w:val="true"/>
        </w:trPr>
        <w:tc>
          <w:tcPr>
            <w:tcW w:type="dxa" w:w="2880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Role</w:t>
            </w:r>
          </w:p>
        </w:tc>
        <w:tc>
          <w:tcPr>
            <w:tcW w:type="dxa" w:w="7200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Responsibility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Audit Programme Manager</w:t>
            </w:r>
          </w:p>
        </w:tc>
        <w:tc>
          <w:tcPr>
            <w:tcW w:type="dxa" w:w="720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Maintains the audit programme, assigns competent independent auditors, monitors completion and escalates systemic issues.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Lead Auditor</w:t>
            </w:r>
          </w:p>
        </w:tc>
        <w:tc>
          <w:tcPr>
            <w:tcW w:type="dxa" w:w="720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Defines the audit plan, coordinates evidence collection, calibrates findings and approves the audit report.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Audit Team Member</w:t>
            </w:r>
          </w:p>
        </w:tc>
        <w:tc>
          <w:tcPr>
            <w:tcW w:type="dxa" w:w="720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Conducts assigned interviews, sampling and evidence review; maintains factual and confidential working notes.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IMS Owner</w:t>
            </w:r>
          </w:p>
        </w:tc>
        <w:tc>
          <w:tcPr>
            <w:tcW w:type="dxa" w:w="720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Provides system information, ensures access and coordinates process-owner responses without directing audit conclusions.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Process / Portfolio / Initiative Owner</w:t>
            </w:r>
          </w:p>
        </w:tc>
        <w:tc>
          <w:tcPr>
            <w:tcW w:type="dxa" w:w="720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Provides evidence, confirms factual accuracy and owns corrective action where assigned.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Top Management / Governance Forum</w:t>
            </w:r>
          </w:p>
        </w:tc>
        <w:tc>
          <w:tcPr>
            <w:tcW w:type="dxa" w:w="720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Receives systemic issues, resolves barriers and reviews overdue or ineffective corrective action.</w:t>
            </w:r>
          </w:p>
        </w:tc>
      </w:tr>
    </w:tbl>
    <w:p/>
    <w:p>
      <w:pPr>
        <w:pStyle w:val="Heading1"/>
      </w:pPr>
      <w:r>
        <w:t>4. Auditor Competence and Independence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Auditors understand management-system auditing principles and the applicable ISO 56001 clause themes.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The audit team collectively understands innovation intent, strategy, portfolio governance, experimentation/validation, collaboration, intellectual property, performance measurement and improvement.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Auditors do not audit their own work where this would compromise objectivity.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Conflicts of interest and confidentiality requirements are confirmed before access to sensitive initiative information.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Lead auditors can distinguish an unsuccessful innovation outcome from a management-system nonconformity.</w:t>
      </w:r>
    </w:p>
    <w:p>
      <w:pPr>
        <w:pStyle w:val="Heading1"/>
      </w:pPr>
      <w:r>
        <w:t>5. Risk-Based Audit Programme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blHeader w:val="true"/>
        </w:trPr>
        <w:tc>
          <w:tcPr>
            <w:tcW w:type="dxa" w:w="2880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Planning Input</w:t>
            </w:r>
          </w:p>
        </w:tc>
        <w:tc>
          <w:tcPr>
            <w:tcW w:type="dxa" w:w="7200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Audit Implication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Strategic importance</w:t>
            </w:r>
          </w:p>
        </w:tc>
        <w:tc>
          <w:tcPr>
            <w:tcW w:type="dxa" w:w="720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Increase frequency or depth for processes that strongly influence innovation direction or value realization.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Material change</w:t>
            </w:r>
          </w:p>
        </w:tc>
        <w:tc>
          <w:tcPr>
            <w:tcW w:type="dxa" w:w="720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Target new strategy, governance, organization structure, portfolio model, collaboration model, digital tool or measurement framework.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Previous findings</w:t>
            </w:r>
          </w:p>
        </w:tc>
        <w:tc>
          <w:tcPr>
            <w:tcW w:type="dxa" w:w="720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Re-audit recurring findings, weak corrective action and areas with ineffective closure.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Performance trends</w:t>
            </w:r>
          </w:p>
        </w:tc>
        <w:tc>
          <w:tcPr>
            <w:tcW w:type="dxa" w:w="720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Use off-target indicators, slow decisions, poor learning or weak realized value as audit leads.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Risk / uncertainty</w:t>
            </w:r>
          </w:p>
        </w:tc>
        <w:tc>
          <w:tcPr>
            <w:tcW w:type="dxa" w:w="720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Increase sampling where poor controls could cause significant financial, IP, regulatory, reputational or ethical impact.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External feedback</w:t>
            </w:r>
          </w:p>
        </w:tc>
        <w:tc>
          <w:tcPr>
            <w:tcW w:type="dxa" w:w="720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Consider certification, customer, investor, partner or regulatory findings where relevant to the IMS scope.</w:t>
            </w:r>
          </w:p>
        </w:tc>
      </w:tr>
    </w:tbl>
    <w:p/>
    <w:p>
      <w:pPr>
        <w:pStyle w:val="Heading1"/>
      </w:pPr>
      <w:r>
        <w:t>6. Audit Planning Workflow</w:t>
      </w:r>
    </w:p>
    <w:p>
      <w:pPr>
        <w:pStyle w:val="ListNumber"/>
      </w:pPr>
      <w:r>
        <w:rPr>
          <w:rFonts w:ascii="Cambria" w:hAnsi="Cambria" w:eastAsia="Cambria"/>
          <w:b w:val="0"/>
          <w:i w:val="0"/>
          <w:color w:val="222222"/>
          <w:sz w:val="20"/>
        </w:rPr>
        <w:t>Define objective, scope, criteria, date, locations, functions and audit team.</w:t>
      </w:r>
    </w:p>
    <w:p>
      <w:pPr>
        <w:pStyle w:val="ListNumber"/>
      </w:pPr>
      <w:r>
        <w:rPr>
          <w:rFonts w:ascii="Cambria" w:hAnsi="Cambria" w:eastAsia="Cambria"/>
          <w:b w:val="0"/>
          <w:i w:val="0"/>
          <w:color w:val="222222"/>
          <w:sz w:val="20"/>
        </w:rPr>
        <w:t>Review previous audits, management-review actions, current context, strategy, portfolio information and relevant performance trends.</w:t>
      </w:r>
    </w:p>
    <w:p>
      <w:pPr>
        <w:pStyle w:val="ListNumber"/>
      </w:pPr>
      <w:r>
        <w:rPr>
          <w:rFonts w:ascii="Cambria" w:hAnsi="Cambria" w:eastAsia="Cambria"/>
          <w:b w:val="0"/>
          <w:i w:val="0"/>
          <w:color w:val="222222"/>
          <w:sz w:val="20"/>
        </w:rPr>
        <w:t>Select representative audit trails across different innovation horizons, stages, outcomes and strategic themes.</w:t>
      </w:r>
    </w:p>
    <w:p>
      <w:pPr>
        <w:pStyle w:val="ListNumber"/>
      </w:pPr>
      <w:r>
        <w:rPr>
          <w:rFonts w:ascii="Cambria" w:hAnsi="Cambria" w:eastAsia="Cambria"/>
          <w:b w:val="0"/>
          <w:i w:val="0"/>
          <w:color w:val="222222"/>
          <w:sz w:val="20"/>
        </w:rPr>
        <w:t>Include at least one paused, stopped or unsuccessful initiative when such evidence exists; this often reveals learning and decision quality.</w:t>
      </w:r>
    </w:p>
    <w:p>
      <w:pPr>
        <w:pStyle w:val="ListNumber"/>
      </w:pPr>
      <w:r>
        <w:rPr>
          <w:rFonts w:ascii="Cambria" w:hAnsi="Cambria" w:eastAsia="Cambria"/>
          <w:b w:val="0"/>
          <w:i w:val="0"/>
          <w:color w:val="222222"/>
          <w:sz w:val="20"/>
        </w:rPr>
        <w:t>Issue a focused evidence request rather than requesting every available innovation document.</w:t>
      </w:r>
    </w:p>
    <w:p>
      <w:pPr>
        <w:pStyle w:val="ListNumber"/>
      </w:pPr>
      <w:r>
        <w:rPr>
          <w:rFonts w:ascii="Cambria" w:hAnsi="Cambria" w:eastAsia="Cambria"/>
          <w:b w:val="0"/>
          <w:i w:val="0"/>
          <w:color w:val="222222"/>
          <w:sz w:val="20"/>
        </w:rPr>
        <w:t>Confirm confidentiality, IP, data-access and interview arrangements.</w:t>
      </w:r>
    </w:p>
    <w:p>
      <w:pPr>
        <w:pStyle w:val="ListNumber"/>
      </w:pPr>
      <w:r>
        <w:rPr>
          <w:rFonts w:ascii="Cambria" w:hAnsi="Cambria" w:eastAsia="Cambria"/>
          <w:b w:val="0"/>
          <w:i w:val="0"/>
          <w:color w:val="222222"/>
          <w:sz w:val="20"/>
        </w:rPr>
        <w:t>Prepare open questions and trace-through tests linked to audit criteria.</w:t>
      </w:r>
    </w:p>
    <w:p>
      <w:pPr>
        <w:pStyle w:val="Heading1"/>
      </w:pPr>
      <w:r>
        <w:t>7. Innovation-Specific Audit Trails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blHeader w:val="true"/>
        </w:trPr>
        <w:tc>
          <w:tcPr>
            <w:tcW w:type="dxa" w:w="2160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Audit Trail</w:t>
            </w:r>
          </w:p>
        </w:tc>
        <w:tc>
          <w:tcPr>
            <w:tcW w:type="dxa" w:w="4464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Trace Through</w:t>
            </w:r>
          </w:p>
        </w:tc>
        <w:tc>
          <w:tcPr>
            <w:tcW w:type="dxa" w:w="3456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What the Auditor Tests</w:t>
            </w:r>
          </w:p>
        </w:tc>
      </w:tr>
      <w:tr>
        <w:trPr>
          <w:cantSplit/>
        </w:trPr>
        <w:tc>
          <w:tcPr>
            <w:tcW w:type="dxa" w:w="216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Intent to portfolio</w:t>
            </w:r>
          </w:p>
        </w:tc>
        <w:tc>
          <w:tcPr>
            <w:tcW w:type="dxa" w:w="446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Innovation intent → strategy → portfolio criteria → allocation decisions</w:t>
            </w:r>
          </w:p>
        </w:tc>
        <w:tc>
          <w:tcPr>
            <w:tcW w:type="dxa" w:w="345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Strategic alignment and consistent decision logic.</w:t>
            </w:r>
          </w:p>
        </w:tc>
      </w:tr>
      <w:tr>
        <w:trPr>
          <w:cantSplit/>
        </w:trPr>
        <w:tc>
          <w:tcPr>
            <w:tcW w:type="dxa" w:w="216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Opportunity to decision</w:t>
            </w:r>
          </w:p>
        </w:tc>
        <w:tc>
          <w:tcPr>
            <w:tcW w:type="dxa" w:w="446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Opportunity evidence → concept → validation → continue/pivot/hold/stop decision</w:t>
            </w:r>
          </w:p>
        </w:tc>
        <w:tc>
          <w:tcPr>
            <w:tcW w:type="dxa" w:w="345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Evidence-based progression under uncertainty.</w:t>
            </w:r>
          </w:p>
        </w:tc>
      </w:tr>
      <w:tr>
        <w:trPr>
          <w:cantSplit/>
        </w:trPr>
        <w:tc>
          <w:tcPr>
            <w:tcW w:type="dxa" w:w="216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Portfolio to resources</w:t>
            </w:r>
          </w:p>
        </w:tc>
        <w:tc>
          <w:tcPr>
            <w:tcW w:type="dxa" w:w="446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Portfolio priorities → people/time/finance allocation → initiative capacity</w:t>
            </w:r>
          </w:p>
        </w:tc>
        <w:tc>
          <w:tcPr>
            <w:tcW w:type="dxa" w:w="345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Whether priorities are supported by resources.</w:t>
            </w:r>
          </w:p>
        </w:tc>
      </w:tr>
      <w:tr>
        <w:trPr>
          <w:cantSplit/>
        </w:trPr>
        <w:tc>
          <w:tcPr>
            <w:tcW w:type="dxa" w:w="216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Collaboration / IP</w:t>
            </w:r>
          </w:p>
        </w:tc>
        <w:tc>
          <w:tcPr>
            <w:tcW w:type="dxa" w:w="446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Partner need → confidentiality/IP review → agreement → joint evidence → decision</w:t>
            </w:r>
          </w:p>
        </w:tc>
        <w:tc>
          <w:tcPr>
            <w:tcW w:type="dxa" w:w="345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Timely collaboration and IP controls.</w:t>
            </w:r>
          </w:p>
        </w:tc>
      </w:tr>
      <w:tr>
        <w:trPr>
          <w:cantSplit/>
        </w:trPr>
        <w:tc>
          <w:tcPr>
            <w:tcW w:type="dxa" w:w="216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Measurement to action</w:t>
            </w:r>
          </w:p>
        </w:tc>
        <w:tc>
          <w:tcPr>
            <w:tcW w:type="dxa" w:w="446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Metric definition → source data → analysis → governance decision → action</w:t>
            </w:r>
          </w:p>
        </w:tc>
        <w:tc>
          <w:tcPr>
            <w:tcW w:type="dxa" w:w="345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Data integrity and decision usefulness.</w:t>
            </w:r>
          </w:p>
        </w:tc>
      </w:tr>
      <w:tr>
        <w:trPr>
          <w:cantSplit/>
        </w:trPr>
        <w:tc>
          <w:tcPr>
            <w:tcW w:type="dxa" w:w="216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Finding to improvement</w:t>
            </w:r>
          </w:p>
        </w:tc>
        <w:tc>
          <w:tcPr>
            <w:tcW w:type="dxa" w:w="446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Audit/NC → correction → cause → corrective action → effectiveness → system update</w:t>
            </w:r>
          </w:p>
        </w:tc>
        <w:tc>
          <w:tcPr>
            <w:tcW w:type="dxa" w:w="345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Closure discipline and system learning.</w:t>
            </w:r>
          </w:p>
        </w:tc>
      </w:tr>
    </w:tbl>
    <w:p/>
    <w:p>
      <w:pPr>
        <w:pStyle w:val="Heading1"/>
      </w:pPr>
      <w:r>
        <w:t>8. Interview Techniques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Ask leaders how innovation intent changes real portfolio or investment decisions, then request recent evidence.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Ask initiative teams which assumptions are most uncertain, what evidence was gathered and what changed because of it.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Ask portfolio owners for an example of an initiative that was stopped or pivoted and trace why the decision was made.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Ask enabling functions such as Finance, Legal/IP, HR and Risk how their controls are adapted for uncertainty rather than forcing conventional project rules.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Ask measurement owners which metrics lead to decisions and which metrics are being retired because they do not provide useful evidence.</w:t>
      </w:r>
    </w:p>
    <w:p>
      <w:pPr>
        <w:pStyle w:val="Heading1"/>
      </w:pPr>
      <w:r>
        <w:t>9. Evidence Quality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blHeader w:val="true"/>
        </w:trPr>
        <w:tc>
          <w:tcPr>
            <w:tcW w:type="dxa" w:w="3168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Evidence Type</w:t>
            </w:r>
          </w:p>
        </w:tc>
        <w:tc>
          <w:tcPr>
            <w:tcW w:type="dxa" w:w="6912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Strength / Caution</w:t>
            </w:r>
          </w:p>
        </w:tc>
      </w:tr>
      <w:tr>
        <w:trPr>
          <w:cantSplit/>
        </w:trPr>
        <w:tc>
          <w:tcPr>
            <w:tcW w:type="dxa" w:w="316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Approved decision records</w:t>
            </w:r>
          </w:p>
        </w:tc>
        <w:tc>
          <w:tcPr>
            <w:tcW w:type="dxa" w:w="69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Strong when they identify evidence considered, decision, owner and conditions.</w:t>
            </w:r>
          </w:p>
        </w:tc>
      </w:tr>
      <w:tr>
        <w:trPr>
          <w:cantSplit/>
        </w:trPr>
        <w:tc>
          <w:tcPr>
            <w:tcW w:type="dxa" w:w="316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Portfolio and initiative records</w:t>
            </w:r>
          </w:p>
        </w:tc>
        <w:tc>
          <w:tcPr>
            <w:tcW w:type="dxa" w:w="69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Strong when current, traceable and consistent with actual practice.</w:t>
            </w:r>
          </w:p>
        </w:tc>
      </w:tr>
      <w:tr>
        <w:trPr>
          <w:cantSplit/>
        </w:trPr>
        <w:tc>
          <w:tcPr>
            <w:tcW w:type="dxa" w:w="316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Experiment / validation evidence</w:t>
            </w:r>
          </w:p>
        </w:tc>
        <w:tc>
          <w:tcPr>
            <w:tcW w:type="dxa" w:w="69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Strong when assumptions, method, acceptance criteria, observations and decisions are traceable.</w:t>
            </w:r>
          </w:p>
        </w:tc>
      </w:tr>
      <w:tr>
        <w:trPr>
          <w:cantSplit/>
        </w:trPr>
        <w:tc>
          <w:tcPr>
            <w:tcW w:type="dxa" w:w="316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Interviews</w:t>
            </w:r>
          </w:p>
        </w:tc>
        <w:tc>
          <w:tcPr>
            <w:tcW w:type="dxa" w:w="69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Useful for understanding practice but should be corroborated when documentary or data evidence should exist.</w:t>
            </w:r>
          </w:p>
        </w:tc>
      </w:tr>
      <w:tr>
        <w:trPr>
          <w:cantSplit/>
        </w:trPr>
        <w:tc>
          <w:tcPr>
            <w:tcW w:type="dxa" w:w="316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Dashboards / metrics</w:t>
            </w:r>
          </w:p>
        </w:tc>
        <w:tc>
          <w:tcPr>
            <w:tcW w:type="dxa" w:w="69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Useful only when definitions, source data and calculation ownership are controlled.</w:t>
            </w:r>
          </w:p>
        </w:tc>
      </w:tr>
      <w:tr>
        <w:trPr>
          <w:cantSplit/>
        </w:trPr>
        <w:tc>
          <w:tcPr>
            <w:tcW w:type="dxa" w:w="316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Presentations without source evidence</w:t>
            </w:r>
          </w:p>
        </w:tc>
        <w:tc>
          <w:tcPr>
            <w:tcW w:type="dxa" w:w="69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Useful context but insufficient as sole evidence for implementation or effectiveness.</w:t>
            </w:r>
          </w:p>
        </w:tc>
      </w:tr>
    </w:tbl>
    <w:p/>
    <w:p>
      <w:pPr>
        <w:pStyle w:val="Heading1"/>
      </w:pPr>
      <w:r>
        <w:t>10. Auditing Failure, Learning and Uncertainty</w:t>
      </w:r>
    </w:p>
    <w:p>
      <w:r>
        <w:rPr>
          <w:rFonts w:ascii="Cambria" w:hAnsi="Cambria" w:eastAsia="Cambria"/>
          <w:b w:val="0"/>
          <w:i w:val="0"/>
          <w:color w:val="222222"/>
          <w:sz w:val="21"/>
        </w:rPr>
        <w:t>A failed experiment, terminated initiative or unrealized hypothesis is not automatically a nonconformity. The auditor should evaluate whether the organization made the uncertainty visible, selected appropriate evidence, controlled material risks, made a timely decision, captured learning and updated the portfolio or system where necessary.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blHeader w:val="true"/>
        </w:trPr>
        <w:tc>
          <w:tcPr>
            <w:tcW w:type="dxa" w:w="3600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Condition</w:t>
            </w:r>
          </w:p>
        </w:tc>
        <w:tc>
          <w:tcPr>
            <w:tcW w:type="dxa" w:w="6480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Audit Interpretation</w:t>
            </w:r>
          </w:p>
        </w:tc>
      </w:tr>
      <w:tr>
        <w:trPr>
          <w:cantSplit/>
        </w:trPr>
        <w:tc>
          <w:tcPr>
            <w:tcW w:type="dxa" w:w="360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Experiment does not support the hypothesis</w:t>
            </w:r>
          </w:p>
        </w:tc>
        <w:tc>
          <w:tcPr>
            <w:tcW w:type="dxa" w:w="64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Potentially healthy innovation behavior if evidence was credible and the decision was timely.</w:t>
            </w:r>
          </w:p>
        </w:tc>
      </w:tr>
      <w:tr>
        <w:trPr>
          <w:cantSplit/>
        </w:trPr>
        <w:tc>
          <w:tcPr>
            <w:tcW w:type="dxa" w:w="360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Initiative is continued despite repeated contradictory evidence</w:t>
            </w:r>
          </w:p>
        </w:tc>
        <w:tc>
          <w:tcPr>
            <w:tcW w:type="dxa" w:w="64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Potential governance or portfolio-control issue.</w:t>
            </w:r>
          </w:p>
        </w:tc>
      </w:tr>
      <w:tr>
        <w:trPr>
          <w:cantSplit/>
        </w:trPr>
        <w:tc>
          <w:tcPr>
            <w:tcW w:type="dxa" w:w="360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Initiative is stopped and learning is retained</w:t>
            </w:r>
          </w:p>
        </w:tc>
        <w:tc>
          <w:tcPr>
            <w:tcW w:type="dxa" w:w="64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Can demonstrate effective evidence-based decision making.</w:t>
            </w:r>
          </w:p>
        </w:tc>
      </w:tr>
      <w:tr>
        <w:trPr>
          <w:cantSplit/>
        </w:trPr>
        <w:tc>
          <w:tcPr>
            <w:tcW w:type="dxa" w:w="360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Failure is hidden or data is selectively presented</w:t>
            </w:r>
          </w:p>
        </w:tc>
        <w:tc>
          <w:tcPr>
            <w:tcW w:type="dxa" w:w="64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Potential integrity, governance or performance-evaluation issue.</w:t>
            </w:r>
          </w:p>
        </w:tc>
      </w:tr>
      <w:tr>
        <w:trPr>
          <w:cantSplit/>
        </w:trPr>
        <w:tc>
          <w:tcPr>
            <w:tcW w:type="dxa" w:w="360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Teams avoid experiments because approval is too slow</w:t>
            </w:r>
          </w:p>
        </w:tc>
        <w:tc>
          <w:tcPr>
            <w:tcW w:type="dxa" w:w="64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Potential system-design, culture or governance improvement opportunity.</w:t>
            </w:r>
          </w:p>
        </w:tc>
      </w:tr>
    </w:tbl>
    <w:p/>
    <w:p>
      <w:pPr>
        <w:pStyle w:val="Heading1"/>
      </w:pPr>
      <w:r>
        <w:t>11. Finding Classification and Writing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blHeader w:val="true"/>
        </w:trPr>
        <w:tc>
          <w:tcPr>
            <w:tcW w:type="dxa" w:w="1728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Finding Type</w:t>
            </w:r>
          </w:p>
        </w:tc>
        <w:tc>
          <w:tcPr>
            <w:tcW w:type="dxa" w:w="4896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Typical Use</w:t>
            </w:r>
          </w:p>
        </w:tc>
        <w:tc>
          <w:tcPr>
            <w:tcW w:type="dxa" w:w="3456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Writing Rule</w:t>
            </w:r>
          </w:p>
        </w:tc>
      </w:tr>
      <w:tr>
        <w:trPr>
          <w:cantSplit/>
        </w:trPr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Major NC</w:t>
            </w:r>
          </w:p>
        </w:tc>
        <w:tc>
          <w:tcPr>
            <w:tcW w:type="dxa" w:w="48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Significant or systemic failure that materially undermines the management system or a key control.</w:t>
            </w:r>
          </w:p>
        </w:tc>
        <w:tc>
          <w:tcPr>
            <w:tcW w:type="dxa" w:w="345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State criterion, objective evidence, factual gap and system significance.</w:t>
            </w:r>
          </w:p>
        </w:tc>
      </w:tr>
      <w:tr>
        <w:trPr>
          <w:cantSplit/>
        </w:trPr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Minor NC</w:t>
            </w:r>
          </w:p>
        </w:tc>
        <w:tc>
          <w:tcPr>
            <w:tcW w:type="dxa" w:w="48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Limited failure against a criterion without evidence of systemic breakdown.</w:t>
            </w:r>
          </w:p>
        </w:tc>
        <w:tc>
          <w:tcPr>
            <w:tcW w:type="dxa" w:w="345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Be specific and avoid broad unsupported conclusions.</w:t>
            </w:r>
          </w:p>
        </w:tc>
      </w:tr>
      <w:tr>
        <w:trPr>
          <w:cantSplit/>
        </w:trPr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Observation</w:t>
            </w:r>
          </w:p>
        </w:tc>
        <w:tc>
          <w:tcPr>
            <w:tcW w:type="dxa" w:w="48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Factual condition worth monitoring where nonconformity is not established.</w:t>
            </w:r>
          </w:p>
        </w:tc>
        <w:tc>
          <w:tcPr>
            <w:tcW w:type="dxa" w:w="345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Describe the condition without implying required action not supported by criteria.</w:t>
            </w:r>
          </w:p>
        </w:tc>
      </w:tr>
      <w:tr>
        <w:trPr>
          <w:cantSplit/>
        </w:trPr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Opportunity</w:t>
            </w:r>
          </w:p>
        </w:tc>
        <w:tc>
          <w:tcPr>
            <w:tcW w:type="dxa" w:w="48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Potential improvement beyond minimum conformity.</w:t>
            </w:r>
          </w:p>
        </w:tc>
        <w:tc>
          <w:tcPr>
            <w:tcW w:type="dxa" w:w="345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Keep clearly separate from mandatory corrective action.</w:t>
            </w:r>
          </w:p>
        </w:tc>
      </w:tr>
    </w:tbl>
    <w:p/>
    <w:p>
      <w:pPr>
        <w:pStyle w:val="Heading1"/>
      </w:pPr>
      <w:r>
        <w:t>12. Illustrative Audit Trail Examples</w:t>
      </w:r>
    </w:p>
    <w:p>
      <w:pPr>
        <w:pStyle w:val="ToolkitNote"/>
      </w:pPr>
      <w:r>
        <w:rPr>
          <w:rFonts w:ascii="Cambria" w:hAnsi="Cambria" w:eastAsia="Cambria"/>
          <w:b w:val="0"/>
          <w:i/>
          <w:color w:val="C00000"/>
          <w:sz w:val="18"/>
        </w:rPr>
        <w:t>[Note] The following five rows are Illustrative Data only. They demonstrate audit-trail design and must not be copied into an actual audit report as organizational evidence.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18"/>
        <w:gridCol w:w="2018"/>
        <w:gridCol w:w="2018"/>
        <w:gridCol w:w="2018"/>
        <w:gridCol w:w="2018"/>
      </w:tblGrid>
      <w:tr>
        <w:trPr>
          <w:tblHeader w:val="true"/>
        </w:trPr>
        <w:tc>
          <w:tcPr>
            <w:tcW w:type="dxa" w:w="1008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5"/>
              </w:rPr>
              <w:t>ID</w:t>
            </w:r>
          </w:p>
        </w:tc>
        <w:tc>
          <w:tcPr>
            <w:tcW w:type="dxa" w:w="2448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5"/>
              </w:rPr>
              <w:t>Illustrative Starting Point</w:t>
            </w:r>
          </w:p>
        </w:tc>
        <w:tc>
          <w:tcPr>
            <w:tcW w:type="dxa" w:w="3312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5"/>
              </w:rPr>
              <w:t>Evidence Path</w:t>
            </w:r>
          </w:p>
        </w:tc>
        <w:tc>
          <w:tcPr>
            <w:tcW w:type="dxa" w:w="3168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5"/>
              </w:rPr>
              <w:t>Potential Audit Question</w:t>
            </w:r>
          </w:p>
        </w:tc>
        <w:tc>
          <w:tcPr>
            <w:tcW w:type="dxa" w:w="1440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5"/>
              </w:rPr>
              <w:t>Illustrative Data</w:t>
            </w:r>
          </w:p>
        </w:tc>
      </w:tr>
      <w:tr>
        <w:trPr>
          <w:cantSplit/>
        </w:trPr>
        <w:tc>
          <w:tcPr>
            <w:tcW w:type="dxa" w:w="100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EX-AT-01</w:t>
            </w:r>
          </w:p>
        </w:tc>
        <w:tc>
          <w:tcPr>
            <w:tcW w:type="dxa" w:w="244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Portfolio review</w:t>
            </w:r>
          </w:p>
        </w:tc>
        <w:tc>
          <w:tcPr>
            <w:tcW w:type="dxa" w:w="33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Intent → strategy → scoring criteria → funding decision</w:t>
            </w:r>
          </w:p>
        </w:tc>
        <w:tc>
          <w:tcPr>
            <w:tcW w:type="dxa" w:w="316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Did the decision apply the approved innovation direction consistently?</w:t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Illustrative Data</w:t>
            </w:r>
          </w:p>
        </w:tc>
      </w:tr>
      <w:tr>
        <w:trPr>
          <w:cantSplit/>
        </w:trPr>
        <w:tc>
          <w:tcPr>
            <w:tcW w:type="dxa" w:w="100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EX-AT-02</w:t>
            </w:r>
          </w:p>
        </w:tc>
        <w:tc>
          <w:tcPr>
            <w:tcW w:type="dxa" w:w="244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Stopped initiative</w:t>
            </w:r>
          </w:p>
        </w:tc>
        <w:tc>
          <w:tcPr>
            <w:tcW w:type="dxa" w:w="33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Validation evidence → stop decision → learning record → resource release</w:t>
            </w:r>
          </w:p>
        </w:tc>
        <w:tc>
          <w:tcPr>
            <w:tcW w:type="dxa" w:w="316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Was stopping treated as a controlled decision with reusable learning?</w:t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Illustrative Data</w:t>
            </w:r>
          </w:p>
        </w:tc>
      </w:tr>
      <w:tr>
        <w:trPr>
          <w:cantSplit/>
        </w:trPr>
        <w:tc>
          <w:tcPr>
            <w:tcW w:type="dxa" w:w="100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EX-AT-03</w:t>
            </w:r>
          </w:p>
        </w:tc>
        <w:tc>
          <w:tcPr>
            <w:tcW w:type="dxa" w:w="244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External collaboration</w:t>
            </w:r>
          </w:p>
        </w:tc>
        <w:tc>
          <w:tcPr>
            <w:tcW w:type="dxa" w:w="33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Partner need → NDA/IP review → joint work → ownership decision</w:t>
            </w:r>
          </w:p>
        </w:tc>
        <w:tc>
          <w:tcPr>
            <w:tcW w:type="dxa" w:w="316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Were confidentiality and IP controls triggered before sensitive disclosure?</w:t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Illustrative Data</w:t>
            </w:r>
          </w:p>
        </w:tc>
      </w:tr>
      <w:tr>
        <w:trPr>
          <w:cantSplit/>
        </w:trPr>
        <w:tc>
          <w:tcPr>
            <w:tcW w:type="dxa" w:w="100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EX-AT-04</w:t>
            </w:r>
          </w:p>
        </w:tc>
        <w:tc>
          <w:tcPr>
            <w:tcW w:type="dxa" w:w="244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Innovation KPI</w:t>
            </w:r>
          </w:p>
        </w:tc>
        <w:tc>
          <w:tcPr>
            <w:tcW w:type="dxa" w:w="33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Definition → data source → dashboard → management action</w:t>
            </w:r>
          </w:p>
        </w:tc>
        <w:tc>
          <w:tcPr>
            <w:tcW w:type="dxa" w:w="316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Can the reported metric be reproduced and does it influence decisions?</w:t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Illustrative Data</w:t>
            </w:r>
          </w:p>
        </w:tc>
      </w:tr>
      <w:tr>
        <w:trPr>
          <w:cantSplit/>
        </w:trPr>
        <w:tc>
          <w:tcPr>
            <w:tcW w:type="dxa" w:w="100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EX-AT-05</w:t>
            </w:r>
          </w:p>
        </w:tc>
        <w:tc>
          <w:tcPr>
            <w:tcW w:type="dxa" w:w="244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Corrective action</w:t>
            </w:r>
          </w:p>
        </w:tc>
        <w:tc>
          <w:tcPr>
            <w:tcW w:type="dxa" w:w="33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Audit finding → cause → action → effectiveness → procedure update</w:t>
            </w:r>
          </w:p>
        </w:tc>
        <w:tc>
          <w:tcPr>
            <w:tcW w:type="dxa" w:w="316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Did the action remove the cause and improve the system?</w:t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Illustrative Data</w:t>
            </w:r>
          </w:p>
        </w:tc>
      </w:tr>
    </w:tbl>
    <w:p/>
    <w:p>
      <w:pPr>
        <w:pStyle w:val="Heading1"/>
      </w:pPr>
      <w:r>
        <w:t>13. Reporting and Follow-up</w:t>
      </w:r>
    </w:p>
    <w:p>
      <w:pPr>
        <w:pStyle w:val="ListNumber"/>
      </w:pPr>
      <w:r>
        <w:rPr>
          <w:rFonts w:ascii="Cambria" w:hAnsi="Cambria" w:eastAsia="Cambria"/>
          <w:b w:val="0"/>
          <w:i w:val="0"/>
          <w:color w:val="222222"/>
          <w:sz w:val="20"/>
        </w:rPr>
        <w:t>Prepare an evidence-based report covering scope, criteria, sampling, limitations, positive practices and findings.</w:t>
      </w:r>
    </w:p>
    <w:p>
      <w:pPr>
        <w:pStyle w:val="ListNumber"/>
      </w:pPr>
      <w:r>
        <w:rPr>
          <w:rFonts w:ascii="Cambria" w:hAnsi="Cambria" w:eastAsia="Cambria"/>
          <w:b w:val="0"/>
          <w:i w:val="0"/>
          <w:color w:val="222222"/>
          <w:sz w:val="20"/>
        </w:rPr>
        <w:t>Separate conformity conclusions from improvement opportunities.</w:t>
      </w:r>
    </w:p>
    <w:p>
      <w:pPr>
        <w:pStyle w:val="ListNumber"/>
      </w:pPr>
      <w:r>
        <w:rPr>
          <w:rFonts w:ascii="Cambria" w:hAnsi="Cambria" w:eastAsia="Cambria"/>
          <w:b w:val="0"/>
          <w:i w:val="0"/>
          <w:color w:val="222222"/>
          <w:sz w:val="20"/>
        </w:rPr>
        <w:t>Assign finding owners and target dates according to significance and internal governance.</w:t>
      </w:r>
    </w:p>
    <w:p>
      <w:pPr>
        <w:pStyle w:val="ListNumber"/>
      </w:pPr>
      <w:r>
        <w:rPr>
          <w:rFonts w:ascii="Cambria" w:hAnsi="Cambria" w:eastAsia="Cambria"/>
          <w:b w:val="0"/>
          <w:i w:val="0"/>
          <w:color w:val="222222"/>
          <w:sz w:val="20"/>
        </w:rPr>
        <w:t>Verify corrections and corrective actions using objective evidence.</w:t>
      </w:r>
    </w:p>
    <w:p>
      <w:pPr>
        <w:pStyle w:val="ListNumber"/>
      </w:pPr>
      <w:r>
        <w:rPr>
          <w:rFonts w:ascii="Cambria" w:hAnsi="Cambria" w:eastAsia="Cambria"/>
          <w:b w:val="0"/>
          <w:i w:val="0"/>
          <w:color w:val="222222"/>
          <w:sz w:val="20"/>
        </w:rPr>
        <w:t>For systemic or material issues, verify effectiveness after enough time or use has occurred.</w:t>
      </w:r>
    </w:p>
    <w:p>
      <w:pPr>
        <w:pStyle w:val="ListNumber"/>
      </w:pPr>
      <w:r>
        <w:rPr>
          <w:rFonts w:ascii="Cambria" w:hAnsi="Cambria" w:eastAsia="Cambria"/>
          <w:b w:val="0"/>
          <w:i w:val="0"/>
          <w:color w:val="222222"/>
          <w:sz w:val="20"/>
        </w:rPr>
        <w:t>Escalate overdue, repeated or ineffective actions through the audit programme and management review.</w:t>
      </w:r>
    </w:p>
    <w:p>
      <w:pPr>
        <w:pStyle w:val="Heading1"/>
      </w:pPr>
      <w:r>
        <w:t>Annex A — Audit Planning Prompts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blHeader w:val="true"/>
        </w:trPr>
        <w:tc>
          <w:tcPr>
            <w:tcW w:type="dxa" w:w="5328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Prompt</w:t>
            </w:r>
          </w:p>
        </w:tc>
        <w:tc>
          <w:tcPr>
            <w:tcW w:type="dxa" w:w="4752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Working Note</w:t>
            </w:r>
          </w:p>
        </w:tc>
      </w:tr>
      <w:tr>
        <w:trPr>
          <w:cantSplit/>
        </w:trPr>
        <w:tc>
          <w:tcPr>
            <w:tcW w:type="dxa" w:w="53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What changed since the previous audit?</w:t>
            </w:r>
          </w:p>
        </w:tc>
        <w:tc>
          <w:tcPr>
            <w:tcW w:type="dxa" w:w="47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53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Which processes / portfolios are most important?</w:t>
            </w:r>
          </w:p>
        </w:tc>
        <w:tc>
          <w:tcPr>
            <w:tcW w:type="dxa" w:w="47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53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Which initiatives represent different horizons / outcomes?</w:t>
            </w:r>
          </w:p>
        </w:tc>
        <w:tc>
          <w:tcPr>
            <w:tcW w:type="dxa" w:w="47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53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What evidence would demonstrate value realization?</w:t>
            </w:r>
          </w:p>
        </w:tc>
        <w:tc>
          <w:tcPr>
            <w:tcW w:type="dxa" w:w="47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53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Where is significant IP / collaboration / ethical risk?</w:t>
            </w:r>
          </w:p>
        </w:tc>
        <w:tc>
          <w:tcPr>
            <w:tcW w:type="dxa" w:w="47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53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Which metrics have influenced recent decisions?</w:t>
            </w:r>
          </w:p>
        </w:tc>
        <w:tc>
          <w:tcPr>
            <w:tcW w:type="dxa" w:w="47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53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Which previous findings require follow-up?</w:t>
            </w:r>
          </w:p>
        </w:tc>
        <w:tc>
          <w:tcPr>
            <w:tcW w:type="dxa" w:w="47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53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What are the known scope or access limitations?</w:t>
            </w:r>
          </w:p>
        </w:tc>
        <w:tc>
          <w:tcPr>
            <w:tcW w:type="dxa" w:w="47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</w:tbl>
    <w:p/>
    <w:p>
      <w:pPr>
        <w:pStyle w:val="Heading1"/>
      </w:pPr>
      <w:r>
        <w:t>References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blHeader w:val="true"/>
        </w:trPr>
        <w:tc>
          <w:tcPr>
            <w:tcW w:type="dxa" w:w="2088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6"/>
              </w:rPr>
              <w:t>Reference</w:t>
            </w:r>
          </w:p>
        </w:tc>
        <w:tc>
          <w:tcPr>
            <w:tcW w:type="dxa" w:w="5256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6"/>
              </w:rPr>
              <w:t>Title</w:t>
            </w:r>
          </w:p>
        </w:tc>
        <w:tc>
          <w:tcPr>
            <w:tcW w:type="dxa" w:w="2952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6"/>
              </w:rPr>
              <w:t>Official Source</w:t>
            </w:r>
          </w:p>
        </w:tc>
      </w:tr>
      <w:tr>
        <w:trPr>
          <w:cantSplit/>
        </w:trPr>
        <w:tc>
          <w:tcPr>
            <w:tcW w:type="dxa" w:w="208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ISO 56001:2024</w:t>
            </w:r>
          </w:p>
        </w:tc>
        <w:tc>
          <w:tcPr>
            <w:tcW w:type="dxa" w:w="525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Innovation management system — Requirements</w:t>
            </w:r>
          </w:p>
        </w:tc>
        <w:tc>
          <w:tcPr>
            <w:tcW w:type="dxa" w:w="29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https://www.iso.org/standard/79278.html</w:t>
            </w:r>
          </w:p>
        </w:tc>
      </w:tr>
      <w:tr>
        <w:trPr>
          <w:cantSplit/>
        </w:trPr>
        <w:tc>
          <w:tcPr>
            <w:tcW w:type="dxa" w:w="208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ISO 56000:2025</w:t>
            </w:r>
          </w:p>
        </w:tc>
        <w:tc>
          <w:tcPr>
            <w:tcW w:type="dxa" w:w="525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Innovation management — Fundamentals and vocabulary</w:t>
            </w:r>
          </w:p>
        </w:tc>
        <w:tc>
          <w:tcPr>
            <w:tcW w:type="dxa" w:w="29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https://www.iso.org/standard/84436.html</w:t>
            </w:r>
          </w:p>
        </w:tc>
      </w:tr>
      <w:tr>
        <w:trPr>
          <w:cantSplit/>
        </w:trPr>
        <w:tc>
          <w:tcPr>
            <w:tcW w:type="dxa" w:w="208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ISO 56002:2019</w:t>
            </w:r>
          </w:p>
        </w:tc>
        <w:tc>
          <w:tcPr>
            <w:tcW w:type="dxa" w:w="525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Innovation management — Innovation management system — Guidance</w:t>
            </w:r>
          </w:p>
        </w:tc>
        <w:tc>
          <w:tcPr>
            <w:tcW w:type="dxa" w:w="29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https://www.iso.org/standard/68221.html</w:t>
            </w:r>
          </w:p>
        </w:tc>
      </w:tr>
      <w:tr>
        <w:trPr>
          <w:cantSplit/>
        </w:trPr>
        <w:tc>
          <w:tcPr>
            <w:tcW w:type="dxa" w:w="208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ISO 56005:2020</w:t>
            </w:r>
          </w:p>
        </w:tc>
        <w:tc>
          <w:tcPr>
            <w:tcW w:type="dxa" w:w="525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Innovation management — Tools and methods for intellectual property management — Guidance</w:t>
            </w:r>
          </w:p>
        </w:tc>
        <w:tc>
          <w:tcPr>
            <w:tcW w:type="dxa" w:w="29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https://www.iso.org/standard/68998.html</w:t>
            </w:r>
          </w:p>
        </w:tc>
      </w:tr>
      <w:tr>
        <w:trPr>
          <w:cantSplit/>
        </w:trPr>
        <w:tc>
          <w:tcPr>
            <w:tcW w:type="dxa" w:w="208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ISO 56006:2021</w:t>
            </w:r>
          </w:p>
        </w:tc>
        <w:tc>
          <w:tcPr>
            <w:tcW w:type="dxa" w:w="525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Innovation management — Tools and methods for strategic intelligence management — Guidance</w:t>
            </w:r>
          </w:p>
        </w:tc>
        <w:tc>
          <w:tcPr>
            <w:tcW w:type="dxa" w:w="29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https://www.iso.org/standard/72621.html</w:t>
            </w:r>
          </w:p>
        </w:tc>
      </w:tr>
      <w:tr>
        <w:trPr>
          <w:cantSplit/>
        </w:trPr>
        <w:tc>
          <w:tcPr>
            <w:tcW w:type="dxa" w:w="208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ISO 56007:2023</w:t>
            </w:r>
          </w:p>
        </w:tc>
        <w:tc>
          <w:tcPr>
            <w:tcW w:type="dxa" w:w="525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Innovation management — Tools and methods for managing opportunities and ideas — Guidance</w:t>
            </w:r>
          </w:p>
        </w:tc>
        <w:tc>
          <w:tcPr>
            <w:tcW w:type="dxa" w:w="29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https://www.iso.org/standard/75068.html</w:t>
            </w:r>
          </w:p>
        </w:tc>
      </w:tr>
      <w:tr>
        <w:trPr>
          <w:cantSplit/>
        </w:trPr>
        <w:tc>
          <w:tcPr>
            <w:tcW w:type="dxa" w:w="208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ISO 56008:2024</w:t>
            </w:r>
          </w:p>
        </w:tc>
        <w:tc>
          <w:tcPr>
            <w:tcW w:type="dxa" w:w="525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Innovation management — Tools and methods for innovation operation measurements — Guidance</w:t>
            </w:r>
          </w:p>
        </w:tc>
        <w:tc>
          <w:tcPr>
            <w:tcW w:type="dxa" w:w="29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https://www.iso.org/standard/78485.html</w:t>
            </w:r>
          </w:p>
        </w:tc>
      </w:tr>
      <w:tr>
        <w:trPr>
          <w:cantSplit/>
        </w:trPr>
        <w:tc>
          <w:tcPr>
            <w:tcW w:type="dxa" w:w="208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ISO 19011:2026</w:t>
            </w:r>
          </w:p>
        </w:tc>
        <w:tc>
          <w:tcPr>
            <w:tcW w:type="dxa" w:w="525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Guidelines for auditing management systems</w:t>
            </w:r>
          </w:p>
        </w:tc>
        <w:tc>
          <w:tcPr>
            <w:tcW w:type="dxa" w:w="29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https://www.iso.org/standard/19011</w:t>
            </w:r>
          </w:p>
        </w:tc>
      </w:tr>
    </w:tbl>
    <w:p/>
    <w:p>
      <w:pPr>
        <w:pStyle w:val="ToolkitNote"/>
      </w:pPr>
      <w:r>
        <w:rPr>
          <w:rFonts w:ascii="Cambria" w:hAnsi="Cambria" w:eastAsia="Cambria"/>
          <w:b w:val="0"/>
          <w:i/>
          <w:color w:val="C00000"/>
          <w:sz w:val="18"/>
        </w:rPr>
        <w:t>[Note] ISO standards are copyrighted. This toolkit paraphrases management-system concepts and does not reproduce the standard text. Verify clause references and organization-specific obligations against the organization’s licensed copy of the applicable standards.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850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tbl>
    <w:tblPr>
      <w:tblW w:type="auto" w:w="0"/>
      <w:jc w:val="center"/>
      <w:tblLook w:firstColumn="1" w:firstRow="1" w:lastColumn="0" w:lastRow="0" w:noHBand="0" w:noVBand="1" w:val="04A0"/>
    </w:tblPr>
    <w:tblGrid>
      <w:gridCol w:w="3360"/>
      <w:gridCol w:w="3360"/>
      <w:gridCol w:w="3360"/>
    </w:tblGrid>
    <w:tr>
      <w:tc>
        <w:tcPr>
          <w:tcW w:type="dxa" w:w="3360"/>
          <w:tcMar>
            <w:top w:w="30" w:type="dxa"/>
            <w:bottom w:w="30" w:type="dxa"/>
            <w:left w:w="60" w:type="dxa"/>
            <w:right w:w="60" w:type="dxa"/>
          </w:tcMar>
        </w:tcPr>
        <w:p>
          <w:pPr>
            <w:jc w:val="left"/>
          </w:pPr>
          <w:r>
            <w:rPr>
              <w:rFonts w:ascii="Cambria" w:hAnsi="Cambria" w:eastAsia="Cambria"/>
              <w:b w:val="0"/>
              <w:i w:val="0"/>
              <w:color w:val="666666"/>
              <w:sz w:val="16"/>
            </w:rPr>
            <w:t>www.iso-toolkits.org</w:t>
          </w:r>
        </w:p>
      </w:tc>
      <w:tc>
        <w:tcPr>
          <w:tcW w:type="dxa" w:w="3360"/>
          <w:tcMar>
            <w:top w:w="30" w:type="dxa"/>
            <w:bottom w:w="30" w:type="dxa"/>
            <w:left w:w="60" w:type="dxa"/>
            <w:right w:w="60" w:type="dxa"/>
          </w:tcMar>
        </w:tcPr>
        <w:p>
          <w:pPr>
            <w:jc w:val="center"/>
          </w:pPr>
          <w:r>
            <w:rPr>
              <w:rFonts w:ascii="Cambria" w:hAnsi="Cambria" w:eastAsia="Cambria"/>
              <w:b w:val="0"/>
              <w:i w:val="0"/>
              <w:color w:val="666666"/>
              <w:sz w:val="16"/>
            </w:rPr>
            <w:t>info@iso-toolkits.org</w:t>
          </w:r>
        </w:p>
      </w:tc>
      <w:tc>
        <w:tcPr>
          <w:tcW w:type="dxa" w:w="3360"/>
          <w:tcMar>
            <w:top w:w="30" w:type="dxa"/>
            <w:bottom w:w="30" w:type="dxa"/>
            <w:left w:w="60" w:type="dxa"/>
            <w:right w:w="60" w:type="dxa"/>
          </w:tcMar>
        </w:tcPr>
        <w:p>
          <w:pPr>
            <w:jc w:val="right"/>
          </w:pPr>
          <w:r>
            <w:rPr>
              <w:rFonts w:ascii="Cambria" w:hAnsi="Cambria" w:eastAsia="Cambria"/>
              <w:b w:val="0"/>
              <w:i w:val="0"/>
              <w:color w:val="666666"/>
              <w:sz w:val="16"/>
            </w:rPr>
            <w:t xml:space="preserve">Page </w:t>
          </w:r>
          <w:r>
            <w:fldChar w:fldCharType="begin"/>
            <w:instrText xml:space="preserve">PAGE</w:instrText>
            <w:fldChar w:fldCharType="end"/>
          </w:r>
          <w:r>
            <w:rPr>
              <w:rFonts w:ascii="Cambria" w:hAnsi="Cambria" w:eastAsia="Cambria"/>
              <w:b w:val="0"/>
              <w:i w:val="0"/>
              <w:color w:val="666666"/>
              <w:sz w:val="16"/>
            </w:rPr>
            <w:t xml:space="preserve"> of </w:t>
          </w:r>
          <w:r>
            <w:fldChar w:fldCharType="begin"/>
            <w:instrText xml:space="preserve">NUMPAGES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tbl>
    <w:tblPr>
      <w:tblW w:type="auto" w:w="0"/>
      <w:jc w:val="center"/>
      <w:tblLook w:firstColumn="1" w:firstRow="1" w:lastColumn="0" w:lastRow="0" w:noHBand="0" w:noVBand="1" w:val="04A0"/>
    </w:tblPr>
    <w:tblGrid>
      <w:gridCol w:w="3360"/>
      <w:gridCol w:w="3360"/>
      <w:gridCol w:w="3360"/>
    </w:tblGrid>
    <w:tr>
      <w:tc>
        <w:tcPr>
          <w:tcW w:type="dxa" w:w="4176"/>
          <w:vAlign w:val="center"/>
          <w:shd w:fill="F5F8FB"/>
          <w:tcMar>
            <w:top w:w="40" w:type="dxa"/>
            <w:bottom w:w="40" w:type="dxa"/>
            <w:left w:w="70" w:type="dxa"/>
            <w:right w:w="70" w:type="dxa"/>
          </w:tcMar>
        </w:tcPr>
        <w:p>
          <w:pPr>
            <w:jc w:val="left"/>
          </w:pPr>
          <w:r>
            <w:rPr>
              <w:rFonts w:ascii="Cambria" w:hAnsi="Cambria" w:eastAsia="Cambria"/>
              <w:b/>
              <w:i w:val="0"/>
              <w:color w:val="1F4E79"/>
              <w:sz w:val="16"/>
            </w:rPr>
            <w:t>Innovation Audit Guidance</w:t>
          </w:r>
        </w:p>
      </w:tc>
      <w:tc>
        <w:tcPr>
          <w:tcW w:type="dxa" w:w="2880"/>
          <w:vAlign w:val="center"/>
          <w:shd w:fill="F5F8FB"/>
          <w:tcMar>
            <w:top w:w="40" w:type="dxa"/>
            <w:bottom w:w="40" w:type="dxa"/>
            <w:left w:w="70" w:type="dxa"/>
            <w:right w:w="70" w:type="dxa"/>
          </w:tcMar>
        </w:tcPr>
        <w:p>
          <w:pPr>
            <w:jc w:val="center"/>
          </w:pPr>
          <w:r>
            <w:rPr>
              <w:rFonts w:ascii="Cambria" w:hAnsi="Cambria" w:eastAsia="Cambria"/>
              <w:b w:val="0"/>
              <w:i w:val="0"/>
              <w:color w:val="222222"/>
              <w:sz w:val="16"/>
            </w:rPr>
            <w:t>INMS-GOV-004 | Version 1.0</w:t>
          </w:r>
        </w:p>
      </w:tc>
      <w:tc>
        <w:tcPr>
          <w:tcW w:type="dxa" w:w="3024"/>
          <w:vAlign w:val="center"/>
          <w:shd w:fill="F5F8FB"/>
          <w:tcMar>
            <w:top w:w="40" w:type="dxa"/>
            <w:bottom w:w="40" w:type="dxa"/>
            <w:left w:w="70" w:type="dxa"/>
            <w:right w:w="70" w:type="dxa"/>
          </w:tcMar>
        </w:tcPr>
        <w:p>
          <w:pPr>
            <w:jc w:val="right"/>
          </w:pPr>
          <w:r>
            <w:rPr>
              <w:rFonts w:ascii="Cambria" w:hAnsi="Cambria" w:eastAsia="Cambria"/>
              <w:b w:val="0"/>
              <w:i w:val="0"/>
              <w:color w:val="222222"/>
              <w:sz w:val="16"/>
            </w:rPr>
            <w:t>Classification: INTERNAL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mbria" w:hAnsi="Cambria"/>
      <w:color w:val="222222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Cambria" w:hAnsi="Cambria"/>
      <w:b/>
      <w:bCs/>
      <w:color w:val="1F4E79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ambria" w:hAnsi="Cambria"/>
      <w:b/>
      <w:bCs/>
      <w:color w:val="1F4E79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mbria" w:hAnsi="Cambria"/>
      <w:b/>
      <w:bCs/>
      <w:color w:val="3F3F3F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mbria" w:hAnsi="Cambria"/>
      <w:b/>
      <w:color w:val="1F4E7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olkitNote">
    <w:name w:val="Toolkit Note"/>
    <w:pPr>
      <w:spacing w:before="60" w:after="100"/>
    </w:pPr>
    <w:rPr>
      <w:rFonts w:ascii="Cambria" w:hAnsi="Cambria"/>
      <w:i/>
      <w:color w:val="C00000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Innovation Audit Guidance</dc:title>
  <dc:subject>ISO 56001:2024 innovation management toolkit</dc:subject>
  <dc:creator>ISO Toolkits</dc:creator>
  <cp:keywords>ISO 56001, innovation management, documented information, management review, audit, implementation plan</cp:keywords>
  <dc:description>Practical ISO 56001 toolkit document created using Office 2007-compatible design rules.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