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INTERNAL INFORMATION SECURITY AUDIT PROCEDURE</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w:t>
      </w:r>
    </w:p>
    <w:p>
      <w:pPr>
        <w:spacing w:after="60" w:line="250" w:lineRule="auto"/>
      </w:pPr>
      <w:r>
        <w:rPr>
          <w:rFonts w:ascii="Cambria" w:hAnsi="Cambria" w:eastAsia="Cambria"/>
          <w:b w:val="0"/>
          <w:i w:val="0"/>
          <w:color w:val="000000"/>
          <w:sz w:val="19"/>
        </w:rPr>
        <w:t>Define a consistent, risk-based process for planning, conducting, reporting and following up internal audits of the Information Security Management System (ISMS). The audit process provides objective evidence on conformity, implementation and effectiveness and supports continual improvement.</w:t>
      </w:r>
    </w:p>
    <w:p>
      <w:pPr>
        <w:keepNext/>
        <w:spacing w:before="140" w:after="60"/>
      </w:pPr>
      <w:r>
        <w:rPr>
          <w:rFonts w:ascii="Cambria" w:hAnsi="Cambria" w:eastAsia="Cambria"/>
          <w:b/>
          <w:i w:val="0"/>
          <w:color w:val="1F4E79"/>
          <w:sz w:val="24"/>
        </w:rPr>
        <w:t>2. Scope</w:t>
      </w:r>
    </w:p>
    <w:p>
      <w:pPr>
        <w:spacing w:after="60" w:line="250" w:lineRule="auto"/>
      </w:pPr>
      <w:r>
        <w:rPr>
          <w:rFonts w:ascii="Cambria" w:hAnsi="Cambria" w:eastAsia="Cambria"/>
          <w:b w:val="0"/>
          <w:i w:val="0"/>
          <w:color w:val="000000"/>
          <w:sz w:val="19"/>
        </w:rPr>
        <w:t>This procedure applies to internal audits of the ISMS scope, management-system processes, risk-management activities and selected information security controls. Audit coverage may include organizational, people, physical and technological controls based on risk, change and previous results.</w:t>
      </w:r>
    </w:p>
    <w:p>
      <w:pPr>
        <w:keepNext/>
        <w:spacing w:before="140" w:after="60"/>
      </w:pPr>
      <w:r>
        <w:rPr>
          <w:rFonts w:ascii="Cambria" w:hAnsi="Cambria" w:eastAsia="Cambria"/>
          <w:b/>
          <w:i w:val="0"/>
          <w:color w:val="1F4E79"/>
          <w:sz w:val="24"/>
        </w:rPr>
        <w:t>3. References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ISO/IEC 27001:2022 and ISO/IEC 27001:2022/Amd 1:2024.</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ISO 19011:2026 - Guidelines for auditing management systems.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ISMS scope, risk register, Statement of Applicability, risk treatment plan and applicable policies/procedures.</w:t>
      </w:r>
    </w:p>
    <w:p>
      <w:pPr>
        <w:keepNext/>
        <w:spacing w:before="140" w:after="60"/>
      </w:pPr>
      <w:r>
        <w:rPr>
          <w:rFonts w:ascii="Cambria" w:hAnsi="Cambria" w:eastAsia="Cambria"/>
          <w:b/>
          <w:i w:val="0"/>
          <w:color w:val="1F4E79"/>
          <w:sz w:val="24"/>
        </w:rPr>
        <w:t>4. Responsibilities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94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Role</w:t>
            </w:r>
          </w:p>
        </w:tc>
        <w:tc>
          <w:tcPr>
            <w:tcW w:type="dxa" w:w="640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Responsibilities</w:t>
            </w:r>
          </w:p>
        </w:tc>
      </w:tr>
      <w:tr>
        <w:trPr>
          <w:cantSplit/>
        </w:trPr>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Top Management</w:t>
            </w:r>
          </w:p>
        </w:tc>
        <w:tc>
          <w:tcPr>
            <w:tcW w:type="dxa" w:w="6406"/>
            <w:tcMar>
              <w:top w:w="70" w:type="dxa"/>
              <w:left w:w="80" w:type="dxa"/>
              <w:bottom w:w="70" w:type="dxa"/>
              <w:right w:w="80" w:type="dxa"/>
            </w:tcMar>
            <w:vAlign w:val="top"/>
          </w:tcPr>
          <w:p>
            <w:pPr>
              <w:spacing w:after="0"/>
            </w:pPr>
            <w:r>
              <w:rPr>
                <w:rFonts w:ascii="Cambria" w:hAnsi="Cambria" w:eastAsia="Cambria"/>
                <w:b w:val="0"/>
                <w:i w:val="0"/>
                <w:color w:val="000000"/>
                <w:sz w:val="16"/>
              </w:rPr>
              <w:t>Ensure audit independence/objectivity is supported; review significant results through management review or escalation.</w:t>
            </w:r>
          </w:p>
        </w:tc>
      </w:tr>
      <w:tr>
        <w:trPr>
          <w:cantSplit/>
        </w:trPr>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Information Security Manager / Audit Programme Manager</w:t>
            </w:r>
          </w:p>
        </w:tc>
        <w:tc>
          <w:tcPr>
            <w:tcW w:type="dxa" w:w="6406"/>
            <w:tcMar>
              <w:top w:w="70" w:type="dxa"/>
              <w:left w:w="80" w:type="dxa"/>
              <w:bottom w:w="70" w:type="dxa"/>
              <w:right w:w="80" w:type="dxa"/>
            </w:tcMar>
            <w:vAlign w:val="top"/>
          </w:tcPr>
          <w:p>
            <w:pPr>
              <w:spacing w:after="0"/>
            </w:pPr>
            <w:r>
              <w:rPr>
                <w:rFonts w:ascii="Cambria" w:hAnsi="Cambria" w:eastAsia="Cambria"/>
                <w:b w:val="0"/>
                <w:i w:val="0"/>
                <w:color w:val="000000"/>
                <w:sz w:val="16"/>
              </w:rPr>
              <w:t>Maintain the audit programme, assign competent auditors, coordinate scope/schedule, track findings and report status.</w:t>
            </w:r>
          </w:p>
        </w:tc>
      </w:tr>
      <w:tr>
        <w:trPr>
          <w:cantSplit/>
        </w:trPr>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Lead Auditor</w:t>
            </w:r>
          </w:p>
        </w:tc>
        <w:tc>
          <w:tcPr>
            <w:tcW w:type="dxa" w:w="6406"/>
            <w:tcMar>
              <w:top w:w="70" w:type="dxa"/>
              <w:left w:w="80" w:type="dxa"/>
              <w:bottom w:w="70" w:type="dxa"/>
              <w:right w:w="80" w:type="dxa"/>
            </w:tcMar>
            <w:vAlign w:val="top"/>
          </w:tcPr>
          <w:p>
            <w:pPr>
              <w:spacing w:after="0"/>
            </w:pPr>
            <w:r>
              <w:rPr>
                <w:rFonts w:ascii="Cambria" w:hAnsi="Cambria" w:eastAsia="Cambria"/>
                <w:b w:val="0"/>
                <w:i w:val="0"/>
                <w:color w:val="000000"/>
                <w:sz w:val="16"/>
              </w:rPr>
              <w:t>Prepare the audit plan, lead audit activities, evaluate evidence, agree factual accuracy and issue the audit report.</w:t>
            </w:r>
          </w:p>
        </w:tc>
      </w:tr>
      <w:tr>
        <w:trPr>
          <w:cantSplit/>
        </w:trPr>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Auditor(s)</w:t>
            </w:r>
          </w:p>
        </w:tc>
        <w:tc>
          <w:tcPr>
            <w:tcW w:type="dxa" w:w="6406"/>
            <w:tcMar>
              <w:top w:w="70" w:type="dxa"/>
              <w:left w:w="80" w:type="dxa"/>
              <w:bottom w:w="70" w:type="dxa"/>
              <w:right w:w="80" w:type="dxa"/>
            </w:tcMar>
            <w:vAlign w:val="top"/>
          </w:tcPr>
          <w:p>
            <w:pPr>
              <w:spacing w:after="0"/>
            </w:pPr>
            <w:r>
              <w:rPr>
                <w:rFonts w:ascii="Cambria" w:hAnsi="Cambria" w:eastAsia="Cambria"/>
                <w:b w:val="0"/>
                <w:i w:val="0"/>
                <w:color w:val="000000"/>
                <w:sz w:val="16"/>
              </w:rPr>
              <w:t>Collect and evaluate objective evidence, protect confidentiality and report findings without bias.</w:t>
            </w:r>
          </w:p>
        </w:tc>
      </w:tr>
      <w:tr>
        <w:trPr>
          <w:cantSplit/>
        </w:trPr>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Audited Process / Control Owner</w:t>
            </w:r>
          </w:p>
        </w:tc>
        <w:tc>
          <w:tcPr>
            <w:tcW w:type="dxa" w:w="6406"/>
            <w:tcMar>
              <w:top w:w="70" w:type="dxa"/>
              <w:left w:w="80" w:type="dxa"/>
              <w:bottom w:w="70" w:type="dxa"/>
              <w:right w:w="80" w:type="dxa"/>
            </w:tcMar>
            <w:vAlign w:val="top"/>
          </w:tcPr>
          <w:p>
            <w:pPr>
              <w:spacing w:after="0"/>
            </w:pPr>
            <w:r>
              <w:rPr>
                <w:rFonts w:ascii="Cambria" w:hAnsi="Cambria" w:eastAsia="Cambria"/>
                <w:b w:val="0"/>
                <w:i w:val="0"/>
                <w:color w:val="000000"/>
                <w:sz w:val="16"/>
              </w:rPr>
              <w:t>Provide access to relevant personnel/evidence, confirm factual information and implement assigned corrective actions.</w:t>
            </w:r>
          </w:p>
        </w:tc>
      </w:tr>
    </w:tbl>
    <w:p>
      <w:pPr>
        <w:spacing w:after="0"/>
      </w:pPr>
    </w:p>
    <w:p>
      <w:pPr>
        <w:keepNext/>
        <w:spacing w:before="140" w:after="60"/>
      </w:pPr>
      <w:r>
        <w:rPr>
          <w:rFonts w:ascii="Cambria" w:hAnsi="Cambria" w:eastAsia="Cambria"/>
          <w:b/>
          <w:i w:val="0"/>
          <w:color w:val="1F4E79"/>
          <w:sz w:val="24"/>
        </w:rPr>
        <w:t>5. Auditor Competence, Independence and Confidentiality</w:t>
      </w:r>
    </w:p>
    <w:p>
      <w:pPr>
        <w:spacing w:after="60" w:line="250" w:lineRule="auto"/>
      </w:pPr>
      <w:r>
        <w:rPr>
          <w:rFonts w:ascii="Cambria" w:hAnsi="Cambria" w:eastAsia="Cambria"/>
          <w:b w:val="0"/>
          <w:i w:val="0"/>
          <w:color w:val="000000"/>
          <w:sz w:val="19"/>
        </w:rPr>
        <w:t>Auditors should have competence appropriate to the audit objective and assigned subject matter. The audit programme manager considers audit-method competence together with relevant ISMS, risk, technology, legal/contractual and business knowledge.</w:t>
      </w:r>
    </w:p>
    <w:p>
      <w:pPr>
        <w:spacing w:after="60" w:line="250" w:lineRule="auto"/>
      </w:pPr>
      <w:r>
        <w:rPr>
          <w:rFonts w:ascii="Cambria" w:hAnsi="Cambria" w:eastAsia="Cambria"/>
          <w:b w:val="0"/>
          <w:i w:val="0"/>
          <w:color w:val="000000"/>
          <w:sz w:val="19"/>
        </w:rPr>
        <w:t>Auditors should not audit their own work where this would compromise objectivity. Where full independence is not practical, the audit programme manager applies safeguards such as alternate evidence review, supervisory review or assignment of a different auditor for significant areas.</w:t>
      </w:r>
    </w:p>
    <w:p>
      <w:pPr>
        <w:spacing w:after="60" w:line="250" w:lineRule="auto"/>
      </w:pPr>
      <w:r>
        <w:rPr>
          <w:rFonts w:ascii="Cambria" w:hAnsi="Cambria" w:eastAsia="Cambria"/>
          <w:b w:val="0"/>
          <w:i w:val="0"/>
          <w:color w:val="000000"/>
          <w:sz w:val="19"/>
        </w:rPr>
        <w:t>Audit evidence may contain sensitive security information. Auditors shall use approved storage/communication channels and limit report detail where disclosure would create unnecessary security exposure.</w:t>
      </w:r>
    </w:p>
    <w:p>
      <w:pPr>
        <w:keepNext/>
        <w:spacing w:before="140" w:after="60"/>
      </w:pPr>
      <w:r>
        <w:rPr>
          <w:rFonts w:ascii="Cambria" w:hAnsi="Cambria" w:eastAsia="Cambria"/>
          <w:b/>
          <w:i w:val="0"/>
          <w:color w:val="1F4E79"/>
          <w:sz w:val="24"/>
        </w:rPr>
        <w:t>6. Procedure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136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Step</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Responsible</w:t>
            </w:r>
          </w:p>
        </w:tc>
        <w:tc>
          <w:tcPr>
            <w:tcW w:type="dxa" w:w="4139"/>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Activity</w:t>
            </w:r>
          </w:p>
        </w:tc>
        <w:tc>
          <w:tcPr>
            <w:tcW w:type="dxa" w:w="170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Output / Record</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1. Establish / update audit programme</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Audit Programme Manager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Plan audit coverage using ISMS risk, process importance, material changes, incidents, previous audit results, management concerns and certification needs.</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Audit programme / schedule</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2. Assign audit team</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Audit Programme Manager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Select competent auditors and confirm objectivity, conflicts and confidentiality requirements.</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Audit assignment</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3. Define audit objective, scope and criteria</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Lead Auditor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Define what will be audited, relevant locations/systems/processes, time period, criteria and sampling approach.</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Audit brief / plan</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4. Prepare the audit</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Lead Auditor / Team</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Review risk register, SoA, treatment plan, policies, procedures, incidents, changes, prior findings, KPIs and relevant records. Identify high-risk audit trails.</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Audit plan / working notes</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5. Confirm arrangements</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Lead Auditor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Agree timing, contacts, access, secure evidence handling, remote/onsite arrangements and closing meeting.</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Confirmed schedule</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6. Conduct opening meeting</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Lead Auditor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Confirm objective, scope, criteria, sampling, confidentiality, communication route and practical constraints.</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Opening record / attendance</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7. Collect evidence</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Audit Team</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Interview personnel, inspect systems/configurations and records, observe activities and trace samples. Cross-check material statements.</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Evidence notes / samples</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8. Evaluate evidence</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Audit Team</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Compare evidence with audit criteria, consider sampling limitations and determine conformity, OFI or nonconformity.</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Draft findings</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9. Conduct closing meeting</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Lead Auditor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Present conclusion and findings, confirm factual accuracy, explain follow-up expectations and record material disagreement.</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Closing record</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10. Issue audit report</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Lead Auditor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Issue concise report with scope, criteria, coverage, conclusion, findings, limitations and follow-up requirements.</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Internal audit report</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11. Corrective action</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Process / Control Owner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Correct immediate issues where needed, evaluate cause and implement proportionate corrective action.</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Corrective action record</w:t>
            </w:r>
          </w:p>
        </w:tc>
      </w:tr>
      <w:tr>
        <w:trPr>
          <w:cantSplit/>
        </w:trPr>
        <w:tc>
          <w:tcPr>
            <w:tcW w:type="dxa" w:w="1361"/>
            <w:tcMar>
              <w:top w:w="70" w:type="dxa"/>
              <w:left w:w="80" w:type="dxa"/>
              <w:bottom w:w="70" w:type="dxa"/>
              <w:right w:w="80" w:type="dxa"/>
            </w:tcMar>
            <w:vAlign w:val="top"/>
          </w:tcPr>
          <w:p>
            <w:pPr>
              <w:spacing w:after="0"/>
            </w:pPr>
            <w:r>
              <w:rPr>
                <w:rFonts w:ascii="Cambria" w:hAnsi="Cambria" w:eastAsia="Cambria"/>
                <w:b w:val="0"/>
                <w:i w:val="0"/>
                <w:color w:val="000000"/>
                <w:sz w:val="14"/>
              </w:rPr>
              <w:t>12. Verify and close</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Assigned Verifier / Audit Programme Manager</w:t>
            </w:r>
          </w:p>
        </w:tc>
        <w:tc>
          <w:tcPr>
            <w:tcW w:type="dxa" w:w="4139"/>
            <w:tcMar>
              <w:top w:w="70" w:type="dxa"/>
              <w:left w:w="80" w:type="dxa"/>
              <w:bottom w:w="70" w:type="dxa"/>
              <w:right w:w="80" w:type="dxa"/>
            </w:tcMar>
            <w:vAlign w:val="top"/>
          </w:tcPr>
          <w:p>
            <w:pPr>
              <w:spacing w:after="0"/>
            </w:pPr>
            <w:r>
              <w:rPr>
                <w:rFonts w:ascii="Cambria" w:hAnsi="Cambria" w:eastAsia="Cambria"/>
                <w:b w:val="0"/>
                <w:i w:val="0"/>
                <w:color w:val="000000"/>
                <w:sz w:val="14"/>
              </w:rPr>
              <w:t>Verify completion and effectiveness according to finding significance; keep ineffective or insufficient actions open.</w:t>
            </w:r>
          </w:p>
        </w:tc>
        <w:tc>
          <w:tcPr>
            <w:tcW w:type="dxa" w:w="1701"/>
            <w:tcMar>
              <w:top w:w="70" w:type="dxa"/>
              <w:left w:w="80" w:type="dxa"/>
              <w:bottom w:w="70" w:type="dxa"/>
              <w:right w:w="80" w:type="dxa"/>
            </w:tcMar>
            <w:vAlign w:val="top"/>
          </w:tcPr>
          <w:p>
            <w:pPr>
              <w:spacing w:after="0"/>
            </w:pPr>
            <w:r>
              <w:rPr>
                <w:rFonts w:ascii="Cambria" w:hAnsi="Cambria" w:eastAsia="Cambria"/>
                <w:b w:val="0"/>
                <w:i w:val="0"/>
                <w:color w:val="000000"/>
                <w:sz w:val="14"/>
              </w:rPr>
              <w:t>Verification / closure evidence</w:t>
            </w:r>
          </w:p>
        </w:tc>
      </w:tr>
    </w:tbl>
    <w:p>
      <w:pPr>
        <w:spacing w:after="0"/>
      </w:pPr>
    </w:p>
    <w:p>
      <w:pPr>
        <w:keepNext/>
        <w:spacing w:before="140" w:after="60"/>
      </w:pPr>
      <w:r>
        <w:rPr>
          <w:rFonts w:ascii="Cambria" w:hAnsi="Cambria" w:eastAsia="Cambria"/>
          <w:b/>
          <w:i w:val="0"/>
          <w:color w:val="1F4E79"/>
          <w:sz w:val="24"/>
        </w:rPr>
        <w:t>7. Risk-Based Audit Sampling</w:t>
      </w:r>
    </w:p>
    <w:p>
      <w:pPr>
        <w:spacing w:after="60" w:line="250" w:lineRule="auto"/>
      </w:pPr>
      <w:r>
        <w:rPr>
          <w:rFonts w:ascii="Cambria" w:hAnsi="Cambria" w:eastAsia="Cambria"/>
          <w:b w:val="0"/>
          <w:i w:val="0"/>
          <w:color w:val="000000"/>
          <w:sz w:val="19"/>
        </w:rPr>
        <w:t>Sampling should be sufficient to support the audit conclusion but does not need to review every transaction or control instance. Increase depth where controls are high-risk, evidence is inconsistent, changes/incidents occurred, prior issues remain unresolved or control effectiveness is uncertain.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66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Possible Sample Dimension</w:t>
            </w:r>
          </w:p>
        </w:tc>
        <w:tc>
          <w:tcPr>
            <w:tcW w:type="dxa" w:w="669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Examples</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Time</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Recent period plus earlier samples to test consistency.</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Population</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Privileged users, leavers, high-risk suppliers, critical systems, incidents or vulnerabilities.</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Location / System</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Different sites, platforms, cloud services or network zones.</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Control state</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Normal operation, exceptions, emergency changes, failed jobs, alerts or corrective actions.</w:t>
            </w:r>
          </w:p>
        </w:tc>
      </w:tr>
    </w:tbl>
    <w:p>
      <w:pPr>
        <w:spacing w:after="0"/>
      </w:pPr>
    </w:p>
    <w:p>
      <w:pPr>
        <w:keepNext/>
        <w:spacing w:before="140" w:after="60"/>
      </w:pPr>
      <w:r>
        <w:rPr>
          <w:rFonts w:ascii="Cambria" w:hAnsi="Cambria" w:eastAsia="Cambria"/>
          <w:b/>
          <w:i w:val="0"/>
          <w:color w:val="1F4E79"/>
          <w:sz w:val="24"/>
        </w:rPr>
        <w:t>8. Finding Classification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55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Classification</w:t>
            </w:r>
          </w:p>
        </w:tc>
        <w:tc>
          <w:tcPr>
            <w:tcW w:type="dxa" w:w="680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Use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Conformity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Evidence supports that the applicable audit criterion is met.</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Opportunity for Improvement (OFI)</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No nonconformity is demonstrated, but a practical strengthening opportunity is identified.</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Minor Nonconformity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 limited failure to meet an applicable criterion that does not indicate a broad/systemic breakdown.</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Major Nonconformity</w:t>
            </w:r>
          </w:p>
        </w:tc>
        <w:tc>
          <w:tcPr>
            <w:tcW w:type="dxa" w:w="6803"/>
            <w:tcMar>
              <w:top w:w="70" w:type="dxa"/>
              <w:left w:w="80" w:type="dxa"/>
              <w:bottom w:w="70" w:type="dxa"/>
              <w:right w:w="80" w:type="dxa"/>
            </w:tcMar>
            <w:vAlign w:val="top"/>
          </w:tcPr>
          <w:p>
            <w:pPr>
              <w:spacing w:after="0"/>
            </w:pPr>
            <w:r>
              <w:rPr>
                <w:rFonts w:ascii="Cambria" w:hAnsi="Cambria" w:eastAsia="Cambria"/>
                <w:b w:val="0"/>
                <w:i w:val="0"/>
                <w:color w:val="000000"/>
                <w:sz w:val="16"/>
              </w:rPr>
              <w:t>A significant/systemic failure, absence of an essential ISMS requirement/control, repeated unresolved condition or other issue that materially undermines ISMS conformity or effectiveness.</w:t>
            </w:r>
          </w:p>
        </w:tc>
      </w:tr>
    </w:tbl>
    <w:p>
      <w:pPr>
        <w:spacing w:after="0"/>
      </w:pPr>
    </w:p>
    <w:p>
      <w:pPr>
        <w:spacing w:after="60" w:line="250" w:lineRule="auto"/>
      </w:pPr>
      <w:r>
        <w:rPr>
          <w:rFonts w:ascii="Cambria" w:hAnsi="Cambria" w:eastAsia="Cambria"/>
          <w:b w:val="0"/>
          <w:i/>
          <w:color w:val="000000"/>
          <w:sz w:val="19"/>
        </w:rPr>
        <w:t>The organization’s internal classification scheme may be adapted. External certification bodies may use their own classification rules.</w:t>
      </w:r>
    </w:p>
    <w:p>
      <w:pPr>
        <w:keepNext/>
        <w:spacing w:before="140" w:after="60"/>
      </w:pPr>
      <w:r>
        <w:rPr>
          <w:rFonts w:ascii="Cambria" w:hAnsi="Cambria" w:eastAsia="Cambria"/>
          <w:b/>
          <w:i w:val="0"/>
          <w:color w:val="1F4E79"/>
          <w:sz w:val="24"/>
        </w:rPr>
        <w:t>9. Escalation</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Immediate or material security risk identified during the audit is escalated through the incident/risk process without waiting for the final report.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Evidence indicating suspected unlawful activity, deliberate misconduct or severe control failure is handled using authorized escalation and confidentiality arrangements.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Overdue major/high-risk audit actions are escalated to the ISMS governance route and, where appropriate, management review.</w:t>
      </w:r>
    </w:p>
    <w:p>
      <w:pPr>
        <w:keepNext/>
        <w:spacing w:before="140" w:after="60"/>
      </w:pPr>
      <w:r>
        <w:rPr>
          <w:rFonts w:ascii="Cambria" w:hAnsi="Cambria" w:eastAsia="Cambria"/>
          <w:b/>
          <w:i w:val="0"/>
          <w:color w:val="1F4E79"/>
          <w:sz w:val="24"/>
        </w:rPr>
        <w:t>10. Required Records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66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Record</w:t>
            </w:r>
          </w:p>
        </w:tc>
        <w:tc>
          <w:tcPr>
            <w:tcW w:type="dxa" w:w="669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Minimum Content</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Audit programme / schedule</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Planned audits, scope/area, timing and status.</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Audit plan / brief</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Objective, scope, criteria, team, timing and sampling focus.</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Working evidence</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Evidence notes sufficient to support conclusions; sensitive details handled securely.</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Audit report</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Conclusion, coverage, findings, limitations and required follow-up.</w:t>
            </w:r>
          </w:p>
        </w:tc>
      </w:tr>
      <w:tr>
        <w:trPr>
          <w:cantSplit/>
        </w:trPr>
        <w:tc>
          <w:tcPr>
            <w:tcW w:type="dxa" w:w="2665"/>
            <w:tcMar>
              <w:top w:w="70" w:type="dxa"/>
              <w:left w:w="80" w:type="dxa"/>
              <w:bottom w:w="70" w:type="dxa"/>
              <w:right w:w="80" w:type="dxa"/>
            </w:tcMar>
            <w:vAlign w:val="top"/>
          </w:tcPr>
          <w:p>
            <w:pPr>
              <w:spacing w:after="0"/>
            </w:pPr>
            <w:r>
              <w:rPr>
                <w:rFonts w:ascii="Cambria" w:hAnsi="Cambria" w:eastAsia="Cambria"/>
                <w:b w:val="0"/>
                <w:i w:val="0"/>
                <w:color w:val="000000"/>
                <w:sz w:val="16"/>
              </w:rPr>
              <w:t>Corrective action / verification</w:t>
            </w:r>
          </w:p>
        </w:tc>
        <w:tc>
          <w:tcPr>
            <w:tcW w:type="dxa" w:w="6690"/>
            <w:tcMar>
              <w:top w:w="70" w:type="dxa"/>
              <w:left w:w="80" w:type="dxa"/>
              <w:bottom w:w="70" w:type="dxa"/>
              <w:right w:w="80" w:type="dxa"/>
            </w:tcMar>
            <w:vAlign w:val="top"/>
          </w:tcPr>
          <w:p>
            <w:pPr>
              <w:spacing w:after="0"/>
            </w:pPr>
            <w:r>
              <w:rPr>
                <w:rFonts w:ascii="Cambria" w:hAnsi="Cambria" w:eastAsia="Cambria"/>
                <w:b w:val="0"/>
                <w:i w:val="0"/>
                <w:color w:val="000000"/>
                <w:sz w:val="16"/>
              </w:rPr>
              <w:t>Action, owner, due date, evidence, effectiveness and closure.</w:t>
            </w:r>
          </w:p>
        </w:tc>
      </w:tr>
    </w:tbl>
    <w:p>
      <w:pPr>
        <w:spacing w:after="0"/>
      </w:pPr>
    </w:p>
    <w:p>
      <w:pPr>
        <w:keepNext/>
        <w:spacing w:before="140" w:after="60"/>
      </w:pPr>
      <w:r>
        <w:rPr>
          <w:rFonts w:ascii="Cambria" w:hAnsi="Cambria" w:eastAsia="Cambria"/>
          <w:b/>
          <w:i w:val="0"/>
          <w:color w:val="1F4E79"/>
          <w:sz w:val="24"/>
        </w:rPr>
        <w:t>11. Related Documents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Report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Checklist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Corrective Action Request</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Register</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Statement of Applicability</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Management Review Agenda &amp; Minutes</w:t>
      </w:r>
    </w:p>
    <w:p>
      <w:pPr>
        <w:keepNext/>
        <w:spacing w:before="140" w:after="60"/>
      </w:pPr>
      <w:r>
        <w:rPr>
          <w:rFonts w:ascii="Cambria" w:hAnsi="Cambria" w:eastAsia="Cambria"/>
          <w:b/>
          <w:i w:val="0"/>
          <w:color w:val="1F4E79"/>
          <w:sz w:val="24"/>
        </w:rPr>
        <w:t>12.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Internal Information Security Audit Procedure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ISMS-PRO-003</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Information Security Audit Procedure</dc:title>
  <dc:subject>Procedure for planning, conducting, reporting and following up internal ISMS audits.</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