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r="http://schemas.openxmlformats.org/officeDocument/2006/relationships" xmlns:w="http://schemas.openxmlformats.org/wordprocessingml/2006/main">
  <w:body>
    <w:p>
      <w:pPr>
        <w:spacing w:before="160" w:after="40"/>
        <w:jc w:val="center"/>
      </w:pPr>
      <w:r>
        <w:rPr>
          <w:rFonts w:ascii="Cambria" w:hAnsi="Cambria" w:eastAsia="Cambria"/>
          <w:b/>
          <w:i w:val="0"/>
          <w:color w:val="1F4E79"/>
          <w:sz w:val="37"/>
        </w:rPr>
        <w:t>INFORMATION SECURITY POLICY, OBJECTIVES &amp; INDICATORS GUIDANCE</w:t>
      </w:r>
    </w:p>
    <w:p>
      <w:pPr>
        <w:spacing w:after="100"/>
        <w:jc w:val="center"/>
      </w:pPr>
      <w:r>
        <w:rPr>
          <w:rFonts w:ascii="Cambria" w:hAnsi="Cambria" w:eastAsia="Cambria"/>
          <w:b/>
          <w:i w:val="0"/>
          <w:color w:val="000000"/>
          <w:sz w:val="19"/>
        </w:rPr>
        <w:t>ISO/IEC 27001:2022 + Amendment 1:2024</w:t>
      </w:r>
    </w:p>
    <w:tbl>
      <w:tblPr>
        <w:tblW w:type="auto" w:w="0"/>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tblPr>
      <w:tblGrid>
        <w:gridCol w:w="2339"/>
        <w:gridCol w:w="2339"/>
        <w:gridCol w:w="2339"/>
        <w:gridCol w:w="2339"/>
      </w:tblGrid>
      <w:tr>
        <w:trPr>
          <w:cantSplit/>
        </w:trPr>
        <w:tc>
          <w:tcPr>
            <w:tcW w:type="dxa" w:w="1928"/>
            <w:shd w:val="clear" w:color="auto" w:fill="EAF3F8"/>
            <w:tcMar>
              <w:top w:w="70" w:type="dxa"/>
              <w:left w:w="80" w:type="dxa"/>
              <w:bottom w:w="70" w:type="dxa"/>
              <w:right w:w="80" w:type="dxa"/>
            </w:tcMar>
          </w:tcPr>
          <w:p>
            <w:pPr>
              <w:spacing w:after="0"/>
            </w:pPr>
            <w:r>
              <w:rPr>
                <w:rFonts w:ascii="Cambria" w:hAnsi="Cambria" w:eastAsia="Cambria"/>
                <w:b/>
                <w:i w:val="0"/>
                <w:color w:val="000000"/>
                <w:sz w:val="16"/>
              </w:rPr>
              <w:t>Document Owner</w:t>
            </w:r>
          </w:p>
        </w:tc>
        <w:tc>
          <w:tcPr>
            <w:tcW w:type="dxa" w:w="2721"/>
            <w:tcMar>
              <w:top w:w="70" w:type="dxa"/>
              <w:left w:w="80" w:type="dxa"/>
              <w:bottom w:w="70" w:type="dxa"/>
              <w:right w:w="80" w:type="dxa"/>
            </w:tcMar>
          </w:tcPr>
          <w:p>
            <w:pPr>
              <w:spacing w:after="0"/>
            </w:pPr>
            <w:r>
              <w:rPr>
                <w:rFonts w:ascii="Cambria" w:hAnsi="Cambria" w:eastAsia="Cambria"/>
                <w:b w:val="0"/>
                <w:i w:val="0"/>
                <w:color w:val="000000"/>
                <w:sz w:val="16"/>
              </w:rPr>
              <w:t>Information Security Manager</w:t>
            </w:r>
          </w:p>
        </w:tc>
        <w:tc>
          <w:tcPr>
            <w:tcW w:type="dxa" w:w="1814"/>
            <w:shd w:val="clear" w:color="auto" w:fill="EAF3F8"/>
            <w:tcMar>
              <w:top w:w="70" w:type="dxa"/>
              <w:left w:w="80" w:type="dxa"/>
              <w:bottom w:w="70" w:type="dxa"/>
              <w:right w:w="80" w:type="dxa"/>
            </w:tcMar>
          </w:tcPr>
          <w:p>
            <w:pPr>
              <w:spacing w:after="0"/>
            </w:pPr>
            <w:r>
              <w:rPr>
                <w:rFonts w:ascii="Cambria" w:hAnsi="Cambria" w:eastAsia="Cambria"/>
                <w:b/>
                <w:i w:val="0"/>
                <w:color w:val="000000"/>
                <w:sz w:val="16"/>
              </w:rPr>
              <w:t>Approver</w:t>
            </w:r>
          </w:p>
        </w:tc>
        <w:tc>
          <w:tcPr>
            <w:tcW w:type="dxa" w:w="2608"/>
            <w:tcMar>
              <w:top w:w="70" w:type="dxa"/>
              <w:left w:w="80" w:type="dxa"/>
              <w:bottom w:w="70" w:type="dxa"/>
              <w:right w:w="80" w:type="dxa"/>
            </w:tcMar>
          </w:tcPr>
          <w:p>
            <w:pPr>
              <w:spacing w:after="0"/>
            </w:pPr>
            <w:r>
              <w:rPr>
                <w:rFonts w:ascii="Cambria" w:hAnsi="Cambria" w:eastAsia="Cambria"/>
                <w:b w:val="0"/>
                <w:i w:val="0"/>
                <w:color w:val="000000"/>
                <w:sz w:val="16"/>
              </w:rPr>
              <w:t>Top Management</w:t>
            </w:r>
          </w:p>
        </w:tc>
      </w:tr>
      <w:tr>
        <w:trPr>
          <w:cantSplit/>
        </w:trPr>
        <w:tc>
          <w:tcPr>
            <w:tcW w:type="dxa" w:w="1928"/>
            <w:shd w:val="clear" w:color="auto" w:fill="EAF3F8"/>
            <w:tcMar>
              <w:top w:w="70" w:type="dxa"/>
              <w:left w:w="80" w:type="dxa"/>
              <w:bottom w:w="70" w:type="dxa"/>
              <w:right w:w="80" w:type="dxa"/>
            </w:tcMar>
          </w:tcPr>
          <w:p>
            <w:pPr>
              <w:spacing w:after="0"/>
            </w:pPr>
            <w:r>
              <w:rPr>
                <w:rFonts w:ascii="Cambria" w:hAnsi="Cambria" w:eastAsia="Cambria"/>
                <w:b/>
                <w:i w:val="0"/>
                <w:color w:val="000000"/>
                <w:sz w:val="16"/>
              </w:rPr>
              <w:t>Classification</w:t>
            </w:r>
          </w:p>
        </w:tc>
        <w:tc>
          <w:tcPr>
            <w:tcW w:type="dxa" w:w="2721"/>
            <w:tcMar>
              <w:top w:w="70" w:type="dxa"/>
              <w:left w:w="80" w:type="dxa"/>
              <w:bottom w:w="70" w:type="dxa"/>
              <w:right w:w="80" w:type="dxa"/>
            </w:tcMar>
          </w:tcPr>
          <w:p>
            <w:pPr>
              <w:spacing w:after="0"/>
            </w:pPr>
            <w:r>
              <w:rPr>
                <w:rFonts w:ascii="Cambria" w:hAnsi="Cambria" w:eastAsia="Cambria"/>
                <w:b w:val="0"/>
                <w:i w:val="0"/>
                <w:color w:val="000000"/>
                <w:sz w:val="16"/>
              </w:rPr>
              <w:t>INTERNAL</w:t>
            </w:r>
          </w:p>
        </w:tc>
        <w:tc>
          <w:tcPr>
            <w:tcW w:type="dxa" w:w="1814"/>
            <w:shd w:val="clear" w:color="auto" w:fill="EAF3F8"/>
            <w:tcMar>
              <w:top w:w="70" w:type="dxa"/>
              <w:left w:w="80" w:type="dxa"/>
              <w:bottom w:w="70" w:type="dxa"/>
              <w:right w:w="80" w:type="dxa"/>
            </w:tcMar>
          </w:tcPr>
          <w:p>
            <w:pPr>
              <w:spacing w:after="0"/>
            </w:pPr>
            <w:r>
              <w:rPr>
                <w:rFonts w:ascii="Cambria" w:hAnsi="Cambria" w:eastAsia="Cambria"/>
                <w:b/>
                <w:i w:val="0"/>
                <w:color w:val="000000"/>
                <w:sz w:val="16"/>
              </w:rPr>
              <w:t>Next Review</w:t>
            </w:r>
          </w:p>
        </w:tc>
        <w:tc>
          <w:tcPr>
            <w:tcW w:type="dxa" w:w="2608"/>
            <w:tcMar>
              <w:top w:w="70" w:type="dxa"/>
              <w:left w:w="80" w:type="dxa"/>
              <w:bottom w:w="70" w:type="dxa"/>
              <w:right w:w="80" w:type="dxa"/>
            </w:tcMar>
          </w:tcPr>
          <w:p>
            <w:pPr>
              <w:spacing w:after="0"/>
            </w:pPr>
            <w:r>
              <w:rPr>
                <w:rFonts w:ascii="Cambria" w:hAnsi="Cambria" w:eastAsia="Cambria"/>
                <w:b w:val="0"/>
                <w:i w:val="0"/>
                <w:color w:val="000000"/>
                <w:sz w:val="16"/>
              </w:rPr>
              <w:t>2027-09-18</w:t>
            </w:r>
          </w:p>
        </w:tc>
      </w:tr>
    </w:tbl>
    <w:p>
      <w:pPr>
        <w:keepNext/>
        <w:spacing w:before="140" w:after="60"/>
      </w:pPr>
      <w:r>
        <w:rPr>
          <w:rFonts w:ascii="Cambria" w:hAnsi="Cambria" w:eastAsia="Cambria"/>
          <w:b/>
          <w:i w:val="0"/>
          <w:color w:val="1F4E79"/>
          <w:sz w:val="24"/>
        </w:rPr>
        <w:t>1. Purpose and Use</w:t>
      </w:r>
    </w:p>
    <w:p>
      <w:pPr>
        <w:spacing w:after="60" w:line="250" w:lineRule="auto"/>
      </w:pPr>
      <w:r>
        <w:rPr>
          <w:rFonts w:ascii="Cambria" w:hAnsi="Cambria" w:eastAsia="Cambria"/>
          <w:b w:val="0"/>
          <w:i w:val="0"/>
          <w:color w:val="000000"/>
          <w:sz w:val="19"/>
        </w:rPr>
        <w:t>Use this guidance to establish an information security policy that gives clear direction, convert policy commitments into measurable objectives and select indicators that support management decisions. Keep the framework proportionate to the organization’s risk, scope and operating model.</w:t>
      </w:r>
    </w:p>
    <w:p>
      <w:pPr>
        <w:keepNext/>
        <w:spacing w:before="140" w:after="60"/>
      </w:pPr>
      <w:r>
        <w:rPr>
          <w:rFonts w:ascii="Cambria" w:hAnsi="Cambria" w:eastAsia="Cambria"/>
          <w:b/>
          <w:i w:val="0"/>
          <w:color w:val="1F4E79"/>
          <w:sz w:val="24"/>
        </w:rPr>
        <w:t>2. References</w:t>
      </w:r>
    </w:p>
    <w:p>
      <w:pPr>
        <w:spacing w:after="30"/>
        <w:ind w:left="283" w:hanging="170"/>
      </w:pPr>
      <w:r>
        <w:rPr>
          <w:rFonts w:ascii="Cambria" w:hAnsi="Cambria" w:eastAsia="Cambria"/>
          <w:b/>
          <w:i w:val="0"/>
          <w:color w:val="1F4E79"/>
          <w:sz w:val="19"/>
        </w:rPr>
        <w:t xml:space="preserve">• </w:t>
      </w:r>
      <w:r>
        <w:rPr>
          <w:rFonts w:ascii="Cambria" w:hAnsi="Cambria" w:eastAsia="Cambria"/>
          <w:b w:val="0"/>
          <w:i w:val="0"/>
          <w:color w:val="000000"/>
          <w:sz w:val="19"/>
        </w:rPr>
        <w:t>ISO/IEC 27001:2022 and ISO/IEC 27001:2022/Amd 1:2024.</w:t>
      </w:r>
    </w:p>
    <w:p>
      <w:pPr>
        <w:spacing w:after="30"/>
        <w:ind w:left="283" w:hanging="170"/>
      </w:pPr>
      <w:r>
        <w:rPr>
          <w:rFonts w:ascii="Cambria" w:hAnsi="Cambria" w:eastAsia="Cambria"/>
          <w:b/>
          <w:i w:val="0"/>
          <w:color w:val="1F4E79"/>
          <w:sz w:val="19"/>
        </w:rPr>
        <w:t xml:space="preserve">• </w:t>
      </w:r>
      <w:r>
        <w:rPr>
          <w:rFonts w:ascii="Cambria" w:hAnsi="Cambria" w:eastAsia="Cambria"/>
          <w:b w:val="0"/>
          <w:i w:val="0"/>
          <w:color w:val="000000"/>
          <w:sz w:val="19"/>
        </w:rPr>
        <w:t>Organization’s ISMS scope, risk assessment, SoA, risk treatment plan, legal/contractual obligations and management review outputs.</w:t>
      </w:r>
    </w:p>
    <w:p>
      <w:pPr>
        <w:keepNext/>
        <w:spacing w:before="140" w:after="60"/>
      </w:pPr>
      <w:r>
        <w:rPr>
          <w:rFonts w:ascii="Cambria" w:hAnsi="Cambria" w:eastAsia="Cambria"/>
          <w:b/>
          <w:i w:val="0"/>
          <w:color w:val="1F4E79"/>
          <w:sz w:val="24"/>
        </w:rPr>
        <w:t>3. Information Security Policy - Practical Design</w:t>
      </w:r>
    </w:p>
    <w:p>
      <w:pPr>
        <w:spacing w:after="60" w:line="250" w:lineRule="auto"/>
      </w:pPr>
      <w:r>
        <w:rPr>
          <w:rFonts w:ascii="Cambria" w:hAnsi="Cambria" w:eastAsia="Cambria"/>
          <w:b w:val="0"/>
          <w:i w:val="0"/>
          <w:color w:val="000000"/>
          <w:sz w:val="19"/>
        </w:rPr>
        <w:t>A useful policy is short enough to communicate, specific enough to guide decisions and stable enough to remain relevant between routine document reviews. It should provide direction rather than duplicate technical standards or operating procedures.</w:t>
      </w:r>
    </w:p>
    <w:tbl>
      <w:tblPr>
        <w:tblW w:type="auto" w:w="0"/>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tblPr>
      <w:tblGrid>
        <w:gridCol w:w="4677"/>
        <w:gridCol w:w="4677"/>
      </w:tblGrid>
      <w:tr>
        <w:trPr>
          <w:cantSplit/>
          <w:tblHeader w:val="true"/>
        </w:trPr>
        <w:tc>
          <w:tcPr>
            <w:tcW w:type="dxa" w:w="2494"/>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6"/>
              </w:rPr>
              <w:t>Policy Element</w:t>
            </w:r>
          </w:p>
        </w:tc>
        <w:tc>
          <w:tcPr>
            <w:tcW w:type="dxa" w:w="6860"/>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6"/>
              </w:rPr>
              <w:t>Practical Content</w:t>
            </w:r>
          </w:p>
        </w:tc>
      </w:tr>
      <w:tr>
        <w:trPr>
          <w:cantSplit/>
        </w:trPr>
        <w:tc>
          <w:tcPr>
            <w:tcW w:type="dxa" w:w="2494"/>
            <w:tcMar>
              <w:top w:w="70" w:type="dxa"/>
              <w:left w:w="80" w:type="dxa"/>
              <w:bottom w:w="70" w:type="dxa"/>
              <w:right w:w="80" w:type="dxa"/>
            </w:tcMar>
            <w:vAlign w:val="top"/>
          </w:tcPr>
          <w:p>
            <w:pPr>
              <w:spacing w:after="0"/>
            </w:pPr>
            <w:r>
              <w:rPr>
                <w:rFonts w:ascii="Cambria" w:hAnsi="Cambria" w:eastAsia="Cambria"/>
                <w:b w:val="0"/>
                <w:i w:val="0"/>
                <w:color w:val="000000"/>
                <w:sz w:val="16"/>
              </w:rPr>
              <w:t>Purpose / direction</w:t>
            </w:r>
          </w:p>
        </w:tc>
        <w:tc>
          <w:tcPr>
            <w:tcW w:type="dxa" w:w="6860"/>
            <w:tcMar>
              <w:top w:w="70" w:type="dxa"/>
              <w:left w:w="80" w:type="dxa"/>
              <w:bottom w:w="70" w:type="dxa"/>
              <w:right w:w="80" w:type="dxa"/>
            </w:tcMar>
            <w:vAlign w:val="top"/>
          </w:tcPr>
          <w:p>
            <w:pPr>
              <w:spacing w:after="0"/>
            </w:pPr>
            <w:r>
              <w:rPr>
                <w:rFonts w:ascii="Cambria" w:hAnsi="Cambria" w:eastAsia="Cambria"/>
                <w:b w:val="0"/>
                <w:i w:val="0"/>
                <w:color w:val="000000"/>
                <w:sz w:val="16"/>
              </w:rPr>
              <w:t>Why information security matters to the organization and what the policy is intended to support.</w:t>
            </w:r>
          </w:p>
        </w:tc>
      </w:tr>
      <w:tr>
        <w:trPr>
          <w:cantSplit/>
        </w:trPr>
        <w:tc>
          <w:tcPr>
            <w:tcW w:type="dxa" w:w="2494"/>
            <w:tcMar>
              <w:top w:w="70" w:type="dxa"/>
              <w:left w:w="80" w:type="dxa"/>
              <w:bottom w:w="70" w:type="dxa"/>
              <w:right w:w="80" w:type="dxa"/>
            </w:tcMar>
            <w:vAlign w:val="top"/>
          </w:tcPr>
          <w:p>
            <w:pPr>
              <w:spacing w:after="0"/>
            </w:pPr>
            <w:r>
              <w:rPr>
                <w:rFonts w:ascii="Cambria" w:hAnsi="Cambria" w:eastAsia="Cambria"/>
                <w:b w:val="0"/>
                <w:i w:val="0"/>
                <w:color w:val="000000"/>
                <w:sz w:val="16"/>
              </w:rPr>
              <w:t>Scope / applicability</w:t>
            </w:r>
          </w:p>
        </w:tc>
        <w:tc>
          <w:tcPr>
            <w:tcW w:type="dxa" w:w="6860"/>
            <w:tcMar>
              <w:top w:w="70" w:type="dxa"/>
              <w:left w:w="80" w:type="dxa"/>
              <w:bottom w:w="70" w:type="dxa"/>
              <w:right w:w="80" w:type="dxa"/>
            </w:tcMar>
            <w:vAlign w:val="top"/>
          </w:tcPr>
          <w:p>
            <w:pPr>
              <w:spacing w:after="0"/>
            </w:pPr>
            <w:r>
              <w:rPr>
                <w:rFonts w:ascii="Cambria" w:hAnsi="Cambria" w:eastAsia="Cambria"/>
                <w:b w:val="0"/>
                <w:i w:val="0"/>
                <w:color w:val="000000"/>
                <w:sz w:val="16"/>
              </w:rPr>
              <w:t>Who and what the policy applies to, aligned with the ISMS scope and organizational context.</w:t>
            </w:r>
          </w:p>
        </w:tc>
      </w:tr>
      <w:tr>
        <w:trPr>
          <w:cantSplit/>
        </w:trPr>
        <w:tc>
          <w:tcPr>
            <w:tcW w:type="dxa" w:w="2494"/>
            <w:tcMar>
              <w:top w:w="70" w:type="dxa"/>
              <w:left w:w="80" w:type="dxa"/>
              <w:bottom w:w="70" w:type="dxa"/>
              <w:right w:w="80" w:type="dxa"/>
            </w:tcMar>
            <w:vAlign w:val="top"/>
          </w:tcPr>
          <w:p>
            <w:pPr>
              <w:spacing w:after="0"/>
            </w:pPr>
            <w:r>
              <w:rPr>
                <w:rFonts w:ascii="Cambria" w:hAnsi="Cambria" w:eastAsia="Cambria"/>
                <w:b w:val="0"/>
                <w:i w:val="0"/>
                <w:color w:val="000000"/>
                <w:sz w:val="16"/>
              </w:rPr>
              <w:t>Core commitments</w:t>
            </w:r>
          </w:p>
        </w:tc>
        <w:tc>
          <w:tcPr>
            <w:tcW w:type="dxa" w:w="6860"/>
            <w:tcMar>
              <w:top w:w="70" w:type="dxa"/>
              <w:left w:w="80" w:type="dxa"/>
              <w:bottom w:w="70" w:type="dxa"/>
              <w:right w:w="80" w:type="dxa"/>
            </w:tcMar>
            <w:vAlign w:val="top"/>
          </w:tcPr>
          <w:p>
            <w:pPr>
              <w:spacing w:after="0"/>
            </w:pPr>
            <w:r>
              <w:rPr>
                <w:rFonts w:ascii="Cambria" w:hAnsi="Cambria" w:eastAsia="Cambria"/>
                <w:b w:val="0"/>
                <w:i w:val="0"/>
                <w:color w:val="000000"/>
                <w:sz w:val="16"/>
              </w:rPr>
              <w:t>Protection of information; applicable obligations; risk-based control; continual improvement; appropriate resources and responsibilities.</w:t>
            </w:r>
          </w:p>
        </w:tc>
      </w:tr>
      <w:tr>
        <w:trPr>
          <w:cantSplit/>
        </w:trPr>
        <w:tc>
          <w:tcPr>
            <w:tcW w:type="dxa" w:w="2494"/>
            <w:tcMar>
              <w:top w:w="70" w:type="dxa"/>
              <w:left w:w="80" w:type="dxa"/>
              <w:bottom w:w="70" w:type="dxa"/>
              <w:right w:w="80" w:type="dxa"/>
            </w:tcMar>
            <w:vAlign w:val="top"/>
          </w:tcPr>
          <w:p>
            <w:pPr>
              <w:spacing w:after="0"/>
            </w:pPr>
            <w:r>
              <w:rPr>
                <w:rFonts w:ascii="Cambria" w:hAnsi="Cambria" w:eastAsia="Cambria"/>
                <w:b w:val="0"/>
                <w:i w:val="0"/>
                <w:color w:val="000000"/>
                <w:sz w:val="16"/>
              </w:rPr>
              <w:t>Leadership expectations</w:t>
            </w:r>
          </w:p>
        </w:tc>
        <w:tc>
          <w:tcPr>
            <w:tcW w:type="dxa" w:w="6860"/>
            <w:tcMar>
              <w:top w:w="70" w:type="dxa"/>
              <w:left w:w="80" w:type="dxa"/>
              <w:bottom w:w="70" w:type="dxa"/>
              <w:right w:w="80" w:type="dxa"/>
            </w:tcMar>
            <w:vAlign w:val="top"/>
          </w:tcPr>
          <w:p>
            <w:pPr>
              <w:spacing w:after="0"/>
            </w:pPr>
            <w:r>
              <w:rPr>
                <w:rFonts w:ascii="Cambria" w:hAnsi="Cambria" w:eastAsia="Cambria"/>
                <w:b w:val="0"/>
                <w:i w:val="0"/>
                <w:color w:val="000000"/>
                <w:sz w:val="16"/>
              </w:rPr>
              <w:t>Management accountability, integration with business processes and support for security culture.</w:t>
            </w:r>
          </w:p>
        </w:tc>
      </w:tr>
      <w:tr>
        <w:trPr>
          <w:cantSplit/>
        </w:trPr>
        <w:tc>
          <w:tcPr>
            <w:tcW w:type="dxa" w:w="2494"/>
            <w:tcMar>
              <w:top w:w="70" w:type="dxa"/>
              <w:left w:w="80" w:type="dxa"/>
              <w:bottom w:w="70" w:type="dxa"/>
              <w:right w:w="80" w:type="dxa"/>
            </w:tcMar>
            <w:vAlign w:val="top"/>
          </w:tcPr>
          <w:p>
            <w:pPr>
              <w:spacing w:after="0"/>
            </w:pPr>
            <w:r>
              <w:rPr>
                <w:rFonts w:ascii="Cambria" w:hAnsi="Cambria" w:eastAsia="Cambria"/>
                <w:b w:val="0"/>
                <w:i w:val="0"/>
                <w:color w:val="000000"/>
                <w:sz w:val="16"/>
              </w:rPr>
              <w:t>Individual responsibilities</w:t>
            </w:r>
          </w:p>
        </w:tc>
        <w:tc>
          <w:tcPr>
            <w:tcW w:type="dxa" w:w="6860"/>
            <w:tcMar>
              <w:top w:w="70" w:type="dxa"/>
              <w:left w:w="80" w:type="dxa"/>
              <w:bottom w:w="70" w:type="dxa"/>
              <w:right w:w="80" w:type="dxa"/>
            </w:tcMar>
            <w:vAlign w:val="top"/>
          </w:tcPr>
          <w:p>
            <w:pPr>
              <w:spacing w:after="0"/>
            </w:pPr>
            <w:r>
              <w:rPr>
                <w:rFonts w:ascii="Cambria" w:hAnsi="Cambria" w:eastAsia="Cambria"/>
                <w:b w:val="0"/>
                <w:i w:val="0"/>
                <w:color w:val="000000"/>
                <w:sz w:val="16"/>
              </w:rPr>
              <w:t>Requirement to follow controls, protect information, complete awareness/training and report events/incidents.</w:t>
            </w:r>
          </w:p>
        </w:tc>
      </w:tr>
      <w:tr>
        <w:trPr>
          <w:cantSplit/>
        </w:trPr>
        <w:tc>
          <w:tcPr>
            <w:tcW w:type="dxa" w:w="2494"/>
            <w:tcMar>
              <w:top w:w="70" w:type="dxa"/>
              <w:left w:w="80" w:type="dxa"/>
              <w:bottom w:w="70" w:type="dxa"/>
              <w:right w:w="80" w:type="dxa"/>
            </w:tcMar>
            <w:vAlign w:val="top"/>
          </w:tcPr>
          <w:p>
            <w:pPr>
              <w:spacing w:after="0"/>
            </w:pPr>
            <w:r>
              <w:rPr>
                <w:rFonts w:ascii="Cambria" w:hAnsi="Cambria" w:eastAsia="Cambria"/>
                <w:b w:val="0"/>
                <w:i w:val="0"/>
                <w:color w:val="000000"/>
                <w:sz w:val="16"/>
              </w:rPr>
              <w:t>Policy governance</w:t>
            </w:r>
          </w:p>
        </w:tc>
        <w:tc>
          <w:tcPr>
            <w:tcW w:type="dxa" w:w="6860"/>
            <w:tcMar>
              <w:top w:w="70" w:type="dxa"/>
              <w:left w:w="80" w:type="dxa"/>
              <w:bottom w:w="70" w:type="dxa"/>
              <w:right w:w="80" w:type="dxa"/>
            </w:tcMar>
            <w:vAlign w:val="top"/>
          </w:tcPr>
          <w:p>
            <w:pPr>
              <w:spacing w:after="0"/>
            </w:pPr>
            <w:r>
              <w:rPr>
                <w:rFonts w:ascii="Cambria" w:hAnsi="Cambria" w:eastAsia="Cambria"/>
                <w:b w:val="0"/>
                <w:i w:val="0"/>
                <w:color w:val="000000"/>
                <w:sz w:val="16"/>
              </w:rPr>
              <w:t>Owner, approval, communication, availability and planned review.</w:t>
            </w:r>
          </w:p>
        </w:tc>
      </w:tr>
    </w:tbl>
    <w:p>
      <w:pPr>
        <w:spacing w:after="0"/>
      </w:pPr>
    </w:p>
    <w:p>
      <w:pPr>
        <w:keepNext/>
        <w:spacing w:before="140" w:after="60"/>
      </w:pPr>
      <w:r>
        <w:rPr>
          <w:rFonts w:ascii="Cambria" w:hAnsi="Cambria" w:eastAsia="Cambria"/>
          <w:b/>
          <w:i w:val="0"/>
          <w:color w:val="1F4E79"/>
          <w:sz w:val="24"/>
        </w:rPr>
        <w:t>4. Policy Deployment</w:t>
      </w:r>
    </w:p>
    <w:p>
      <w:pPr>
        <w:spacing w:after="30"/>
        <w:ind w:left="283" w:hanging="170"/>
      </w:pPr>
      <w:r>
        <w:rPr>
          <w:rFonts w:ascii="Cambria" w:hAnsi="Cambria" w:eastAsia="Cambria"/>
          <w:b/>
          <w:i w:val="0"/>
          <w:color w:val="1F4E79"/>
          <w:sz w:val="19"/>
        </w:rPr>
        <w:t xml:space="preserve">• </w:t>
      </w:r>
      <w:r>
        <w:rPr>
          <w:rFonts w:ascii="Cambria" w:hAnsi="Cambria" w:eastAsia="Cambria"/>
          <w:b w:val="0"/>
          <w:i w:val="0"/>
          <w:color w:val="000000"/>
          <w:sz w:val="19"/>
        </w:rPr>
        <w:t>Approve the policy at an appropriate management level.</w:t>
      </w:r>
    </w:p>
    <w:p>
      <w:pPr>
        <w:spacing w:after="30"/>
        <w:ind w:left="283" w:hanging="170"/>
      </w:pPr>
      <w:r>
        <w:rPr>
          <w:rFonts w:ascii="Cambria" w:hAnsi="Cambria" w:eastAsia="Cambria"/>
          <w:b/>
          <w:i w:val="0"/>
          <w:color w:val="1F4E79"/>
          <w:sz w:val="19"/>
        </w:rPr>
        <w:t xml:space="preserve">• </w:t>
      </w:r>
      <w:r>
        <w:rPr>
          <w:rFonts w:ascii="Cambria" w:hAnsi="Cambria" w:eastAsia="Cambria"/>
          <w:b w:val="0"/>
          <w:i w:val="0"/>
          <w:color w:val="000000"/>
          <w:sz w:val="19"/>
        </w:rPr>
        <w:t>Communicate it in a form employees and relevant external parties can understand.</w:t>
      </w:r>
    </w:p>
    <w:p>
      <w:pPr>
        <w:spacing w:after="30"/>
        <w:ind w:left="283" w:hanging="170"/>
      </w:pPr>
      <w:r>
        <w:rPr>
          <w:rFonts w:ascii="Cambria" w:hAnsi="Cambria" w:eastAsia="Cambria"/>
          <w:b/>
          <w:i w:val="0"/>
          <w:color w:val="1F4E79"/>
          <w:sz w:val="19"/>
        </w:rPr>
        <w:t xml:space="preserve">• </w:t>
      </w:r>
      <w:r>
        <w:rPr>
          <w:rFonts w:ascii="Cambria" w:hAnsi="Cambria" w:eastAsia="Cambria"/>
          <w:b w:val="0"/>
          <w:i w:val="0"/>
          <w:color w:val="000000"/>
          <w:sz w:val="19"/>
        </w:rPr>
        <w:t>Translate high-level commitments into procedures, standards, roles, objectives and controls.</w:t>
      </w:r>
    </w:p>
    <w:p>
      <w:pPr>
        <w:spacing w:after="30"/>
        <w:ind w:left="283" w:hanging="170"/>
      </w:pPr>
      <w:r>
        <w:rPr>
          <w:rFonts w:ascii="Cambria" w:hAnsi="Cambria" w:eastAsia="Cambria"/>
          <w:b/>
          <w:i w:val="0"/>
          <w:color w:val="1F4E79"/>
          <w:sz w:val="19"/>
        </w:rPr>
        <w:t xml:space="preserve">• </w:t>
      </w:r>
      <w:r>
        <w:rPr>
          <w:rFonts w:ascii="Cambria" w:hAnsi="Cambria" w:eastAsia="Cambria"/>
          <w:b w:val="0"/>
          <w:i w:val="0"/>
          <w:color w:val="000000"/>
          <w:sz w:val="19"/>
        </w:rPr>
        <w:t>Use onboarding, awareness, management communication and supplier/customer channels where relevant.</w:t>
      </w:r>
    </w:p>
    <w:p>
      <w:pPr>
        <w:spacing w:after="30"/>
        <w:ind w:left="283" w:hanging="170"/>
      </w:pPr>
      <w:r>
        <w:rPr>
          <w:rFonts w:ascii="Cambria" w:hAnsi="Cambria" w:eastAsia="Cambria"/>
          <w:b/>
          <w:i w:val="0"/>
          <w:color w:val="1F4E79"/>
          <w:sz w:val="19"/>
        </w:rPr>
        <w:t xml:space="preserve">• </w:t>
      </w:r>
      <w:r>
        <w:rPr>
          <w:rFonts w:ascii="Cambria" w:hAnsi="Cambria" w:eastAsia="Cambria"/>
          <w:b w:val="0"/>
          <w:i w:val="0"/>
          <w:color w:val="000000"/>
          <w:sz w:val="19"/>
        </w:rPr>
        <w:t>Review after significant context, legal, technology, incident or business changes as well as on the planned review cycle.</w:t>
      </w:r>
    </w:p>
    <w:p>
      <w:pPr>
        <w:keepNext/>
        <w:spacing w:before="140" w:after="60"/>
      </w:pPr>
      <w:r>
        <w:rPr>
          <w:rFonts w:ascii="Cambria" w:hAnsi="Cambria" w:eastAsia="Cambria"/>
          <w:b/>
          <w:i w:val="0"/>
          <w:color w:val="1F4E79"/>
          <w:sz w:val="24"/>
        </w:rPr>
        <w:t>5. Setting Information Security Objectives</w:t>
      </w:r>
    </w:p>
    <w:p>
      <w:pPr>
        <w:spacing w:after="60" w:line="250" w:lineRule="auto"/>
      </w:pPr>
      <w:r>
        <w:rPr>
          <w:rFonts w:ascii="Cambria" w:hAnsi="Cambria" w:eastAsia="Cambria"/>
          <w:b w:val="0"/>
          <w:i w:val="0"/>
          <w:color w:val="000000"/>
          <w:sz w:val="19"/>
        </w:rPr>
        <w:t>Objectives should address the organization’s security priorities and support intended ISMS outcomes. A small set of well-owned objectives is usually more useful than a large list that is not actively managed.</w:t>
      </w:r>
    </w:p>
    <w:tbl>
      <w:tblPr>
        <w:tblW w:type="auto" w:w="0"/>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tblPr>
      <w:tblGrid>
        <w:gridCol w:w="4677"/>
        <w:gridCol w:w="4677"/>
      </w:tblGrid>
      <w:tr>
        <w:trPr>
          <w:cantSplit/>
          <w:tblHeader w:val="true"/>
        </w:trPr>
        <w:tc>
          <w:tcPr>
            <w:tcW w:type="dxa" w:w="2494"/>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6"/>
              </w:rPr>
              <w:t>Objective Component</w:t>
            </w:r>
          </w:p>
        </w:tc>
        <w:tc>
          <w:tcPr>
            <w:tcW w:type="dxa" w:w="6860"/>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6"/>
              </w:rPr>
              <w:t>Question to Answer</w:t>
            </w:r>
          </w:p>
        </w:tc>
      </w:tr>
      <w:tr>
        <w:trPr>
          <w:cantSplit/>
        </w:trPr>
        <w:tc>
          <w:tcPr>
            <w:tcW w:type="dxa" w:w="2494"/>
            <w:tcMar>
              <w:top w:w="70" w:type="dxa"/>
              <w:left w:w="80" w:type="dxa"/>
              <w:bottom w:w="70" w:type="dxa"/>
              <w:right w:w="80" w:type="dxa"/>
            </w:tcMar>
            <w:vAlign w:val="top"/>
          </w:tcPr>
          <w:p>
            <w:pPr>
              <w:spacing w:after="0"/>
            </w:pPr>
            <w:r>
              <w:rPr>
                <w:rFonts w:ascii="Cambria" w:hAnsi="Cambria" w:eastAsia="Cambria"/>
                <w:b w:val="0"/>
                <w:i w:val="0"/>
                <w:color w:val="000000"/>
                <w:sz w:val="16"/>
              </w:rPr>
              <w:t>Outcome</w:t>
            </w:r>
          </w:p>
        </w:tc>
        <w:tc>
          <w:tcPr>
            <w:tcW w:type="dxa" w:w="6860"/>
            <w:tcMar>
              <w:top w:w="70" w:type="dxa"/>
              <w:left w:w="80" w:type="dxa"/>
              <w:bottom w:w="70" w:type="dxa"/>
              <w:right w:w="80" w:type="dxa"/>
            </w:tcMar>
            <w:vAlign w:val="top"/>
          </w:tcPr>
          <w:p>
            <w:pPr>
              <w:spacing w:after="0"/>
            </w:pPr>
            <w:r>
              <w:rPr>
                <w:rFonts w:ascii="Cambria" w:hAnsi="Cambria" w:eastAsia="Cambria"/>
                <w:b w:val="0"/>
                <w:i w:val="0"/>
                <w:color w:val="000000"/>
                <w:sz w:val="16"/>
              </w:rPr>
              <w:t>What security result are we trying to achieve?</w:t>
            </w:r>
          </w:p>
        </w:tc>
      </w:tr>
      <w:tr>
        <w:trPr>
          <w:cantSplit/>
        </w:trPr>
        <w:tc>
          <w:tcPr>
            <w:tcW w:type="dxa" w:w="2494"/>
            <w:tcMar>
              <w:top w:w="70" w:type="dxa"/>
              <w:left w:w="80" w:type="dxa"/>
              <w:bottom w:w="70" w:type="dxa"/>
              <w:right w:w="80" w:type="dxa"/>
            </w:tcMar>
            <w:vAlign w:val="top"/>
          </w:tcPr>
          <w:p>
            <w:pPr>
              <w:spacing w:after="0"/>
            </w:pPr>
            <w:r>
              <w:rPr>
                <w:rFonts w:ascii="Cambria" w:hAnsi="Cambria" w:eastAsia="Cambria"/>
                <w:b w:val="0"/>
                <w:i w:val="0"/>
                <w:color w:val="000000"/>
                <w:sz w:val="16"/>
              </w:rPr>
              <w:t>Measure</w:t>
            </w:r>
          </w:p>
        </w:tc>
        <w:tc>
          <w:tcPr>
            <w:tcW w:type="dxa" w:w="6860"/>
            <w:tcMar>
              <w:top w:w="70" w:type="dxa"/>
              <w:left w:w="80" w:type="dxa"/>
              <w:bottom w:w="70" w:type="dxa"/>
              <w:right w:w="80" w:type="dxa"/>
            </w:tcMar>
            <w:vAlign w:val="top"/>
          </w:tcPr>
          <w:p>
            <w:pPr>
              <w:spacing w:after="0"/>
            </w:pPr>
            <w:r>
              <w:rPr>
                <w:rFonts w:ascii="Cambria" w:hAnsi="Cambria" w:eastAsia="Cambria"/>
                <w:b w:val="0"/>
                <w:i w:val="0"/>
                <w:color w:val="000000"/>
                <w:sz w:val="16"/>
              </w:rPr>
              <w:t>How will progress or success be measured?</w:t>
            </w:r>
          </w:p>
        </w:tc>
      </w:tr>
      <w:tr>
        <w:trPr>
          <w:cantSplit/>
        </w:trPr>
        <w:tc>
          <w:tcPr>
            <w:tcW w:type="dxa" w:w="2494"/>
            <w:tcMar>
              <w:top w:w="70" w:type="dxa"/>
              <w:left w:w="80" w:type="dxa"/>
              <w:bottom w:w="70" w:type="dxa"/>
              <w:right w:w="80" w:type="dxa"/>
            </w:tcMar>
            <w:vAlign w:val="top"/>
          </w:tcPr>
          <w:p>
            <w:pPr>
              <w:spacing w:after="0"/>
            </w:pPr>
            <w:r>
              <w:rPr>
                <w:rFonts w:ascii="Cambria" w:hAnsi="Cambria" w:eastAsia="Cambria"/>
                <w:b w:val="0"/>
                <w:i w:val="0"/>
                <w:color w:val="000000"/>
                <w:sz w:val="16"/>
              </w:rPr>
              <w:t>Baseline / Target</w:t>
            </w:r>
          </w:p>
        </w:tc>
        <w:tc>
          <w:tcPr>
            <w:tcW w:type="dxa" w:w="6860"/>
            <w:tcMar>
              <w:top w:w="70" w:type="dxa"/>
              <w:left w:w="80" w:type="dxa"/>
              <w:bottom w:w="70" w:type="dxa"/>
              <w:right w:w="80" w:type="dxa"/>
            </w:tcMar>
            <w:vAlign w:val="top"/>
          </w:tcPr>
          <w:p>
            <w:pPr>
              <w:spacing w:after="0"/>
            </w:pPr>
            <w:r>
              <w:rPr>
                <w:rFonts w:ascii="Cambria" w:hAnsi="Cambria" w:eastAsia="Cambria"/>
                <w:b w:val="0"/>
                <w:i w:val="0"/>
                <w:color w:val="000000"/>
                <w:sz w:val="16"/>
              </w:rPr>
              <w:t>What is the current position and desired result?</w:t>
            </w:r>
          </w:p>
        </w:tc>
      </w:tr>
      <w:tr>
        <w:trPr>
          <w:cantSplit/>
        </w:trPr>
        <w:tc>
          <w:tcPr>
            <w:tcW w:type="dxa" w:w="2494"/>
            <w:tcMar>
              <w:top w:w="70" w:type="dxa"/>
              <w:left w:w="80" w:type="dxa"/>
              <w:bottom w:w="70" w:type="dxa"/>
              <w:right w:w="80" w:type="dxa"/>
            </w:tcMar>
            <w:vAlign w:val="top"/>
          </w:tcPr>
          <w:p>
            <w:pPr>
              <w:spacing w:after="0"/>
            </w:pPr>
            <w:r>
              <w:rPr>
                <w:rFonts w:ascii="Cambria" w:hAnsi="Cambria" w:eastAsia="Cambria"/>
                <w:b w:val="0"/>
                <w:i w:val="0"/>
                <w:color w:val="000000"/>
                <w:sz w:val="16"/>
              </w:rPr>
              <w:t>Owner</w:t>
            </w:r>
          </w:p>
        </w:tc>
        <w:tc>
          <w:tcPr>
            <w:tcW w:type="dxa" w:w="6860"/>
            <w:tcMar>
              <w:top w:w="70" w:type="dxa"/>
              <w:left w:w="80" w:type="dxa"/>
              <w:bottom w:w="70" w:type="dxa"/>
              <w:right w:w="80" w:type="dxa"/>
            </w:tcMar>
            <w:vAlign w:val="top"/>
          </w:tcPr>
          <w:p>
            <w:pPr>
              <w:spacing w:after="0"/>
            </w:pPr>
            <w:r>
              <w:rPr>
                <w:rFonts w:ascii="Cambria" w:hAnsi="Cambria" w:eastAsia="Cambria"/>
                <w:b w:val="0"/>
                <w:i w:val="0"/>
                <w:color w:val="000000"/>
                <w:sz w:val="16"/>
              </w:rPr>
              <w:t>Who is accountable for the result?</w:t>
            </w:r>
          </w:p>
        </w:tc>
      </w:tr>
      <w:tr>
        <w:trPr>
          <w:cantSplit/>
        </w:trPr>
        <w:tc>
          <w:tcPr>
            <w:tcW w:type="dxa" w:w="2494"/>
            <w:tcMar>
              <w:top w:w="70" w:type="dxa"/>
              <w:left w:w="80" w:type="dxa"/>
              <w:bottom w:w="70" w:type="dxa"/>
              <w:right w:w="80" w:type="dxa"/>
            </w:tcMar>
            <w:vAlign w:val="top"/>
          </w:tcPr>
          <w:p>
            <w:pPr>
              <w:spacing w:after="0"/>
            </w:pPr>
            <w:r>
              <w:rPr>
                <w:rFonts w:ascii="Cambria" w:hAnsi="Cambria" w:eastAsia="Cambria"/>
                <w:b w:val="0"/>
                <w:i w:val="0"/>
                <w:color w:val="000000"/>
                <w:sz w:val="16"/>
              </w:rPr>
              <w:t>Actions / Resources</w:t>
            </w:r>
          </w:p>
        </w:tc>
        <w:tc>
          <w:tcPr>
            <w:tcW w:type="dxa" w:w="6860"/>
            <w:tcMar>
              <w:top w:w="70" w:type="dxa"/>
              <w:left w:w="80" w:type="dxa"/>
              <w:bottom w:w="70" w:type="dxa"/>
              <w:right w:w="80" w:type="dxa"/>
            </w:tcMar>
            <w:vAlign w:val="top"/>
          </w:tcPr>
          <w:p>
            <w:pPr>
              <w:spacing w:after="0"/>
            </w:pPr>
            <w:r>
              <w:rPr>
                <w:rFonts w:ascii="Cambria" w:hAnsi="Cambria" w:eastAsia="Cambria"/>
                <w:b w:val="0"/>
                <w:i w:val="0"/>
                <w:color w:val="000000"/>
                <w:sz w:val="16"/>
              </w:rPr>
              <w:t>What must be done and what resources are needed?</w:t>
            </w:r>
          </w:p>
        </w:tc>
      </w:tr>
      <w:tr>
        <w:trPr>
          <w:cantSplit/>
        </w:trPr>
        <w:tc>
          <w:tcPr>
            <w:tcW w:type="dxa" w:w="2494"/>
            <w:tcMar>
              <w:top w:w="70" w:type="dxa"/>
              <w:left w:w="80" w:type="dxa"/>
              <w:bottom w:w="70" w:type="dxa"/>
              <w:right w:w="80" w:type="dxa"/>
            </w:tcMar>
            <w:vAlign w:val="top"/>
          </w:tcPr>
          <w:p>
            <w:pPr>
              <w:spacing w:after="0"/>
            </w:pPr>
            <w:r>
              <w:rPr>
                <w:rFonts w:ascii="Cambria" w:hAnsi="Cambria" w:eastAsia="Cambria"/>
                <w:b w:val="0"/>
                <w:i w:val="0"/>
                <w:color w:val="000000"/>
                <w:sz w:val="16"/>
              </w:rPr>
              <w:t>Timeframe</w:t>
            </w:r>
          </w:p>
        </w:tc>
        <w:tc>
          <w:tcPr>
            <w:tcW w:type="dxa" w:w="6860"/>
            <w:tcMar>
              <w:top w:w="70" w:type="dxa"/>
              <w:left w:w="80" w:type="dxa"/>
              <w:bottom w:w="70" w:type="dxa"/>
              <w:right w:w="80" w:type="dxa"/>
            </w:tcMar>
            <w:vAlign w:val="top"/>
          </w:tcPr>
          <w:p>
            <w:pPr>
              <w:spacing w:after="0"/>
            </w:pPr>
            <w:r>
              <w:rPr>
                <w:rFonts w:ascii="Cambria" w:hAnsi="Cambria" w:eastAsia="Cambria"/>
                <w:b w:val="0"/>
                <w:i w:val="0"/>
                <w:color w:val="000000"/>
                <w:sz w:val="16"/>
              </w:rPr>
              <w:t>By when should the target be achieved?</w:t>
            </w:r>
          </w:p>
        </w:tc>
      </w:tr>
      <w:tr>
        <w:trPr>
          <w:cantSplit/>
        </w:trPr>
        <w:tc>
          <w:tcPr>
            <w:tcW w:type="dxa" w:w="2494"/>
            <w:tcMar>
              <w:top w:w="70" w:type="dxa"/>
              <w:left w:w="80" w:type="dxa"/>
              <w:bottom w:w="70" w:type="dxa"/>
              <w:right w:w="80" w:type="dxa"/>
            </w:tcMar>
            <w:vAlign w:val="top"/>
          </w:tcPr>
          <w:p>
            <w:pPr>
              <w:spacing w:after="0"/>
            </w:pPr>
            <w:r>
              <w:rPr>
                <w:rFonts w:ascii="Cambria" w:hAnsi="Cambria" w:eastAsia="Cambria"/>
                <w:b w:val="0"/>
                <w:i w:val="0"/>
                <w:color w:val="000000"/>
                <w:sz w:val="16"/>
              </w:rPr>
              <w:t>Review / Escalation</w:t>
            </w:r>
          </w:p>
        </w:tc>
        <w:tc>
          <w:tcPr>
            <w:tcW w:type="dxa" w:w="6860"/>
            <w:tcMar>
              <w:top w:w="70" w:type="dxa"/>
              <w:left w:w="80" w:type="dxa"/>
              <w:bottom w:w="70" w:type="dxa"/>
              <w:right w:w="80" w:type="dxa"/>
            </w:tcMar>
            <w:vAlign w:val="top"/>
          </w:tcPr>
          <w:p>
            <w:pPr>
              <w:spacing w:after="0"/>
            </w:pPr>
            <w:r>
              <w:rPr>
                <w:rFonts w:ascii="Cambria" w:hAnsi="Cambria" w:eastAsia="Cambria"/>
                <w:b w:val="0"/>
                <w:i w:val="0"/>
                <w:color w:val="000000"/>
                <w:sz w:val="16"/>
              </w:rPr>
              <w:t>How often will performance be reviewed and what triggers action?</w:t>
            </w:r>
          </w:p>
        </w:tc>
      </w:tr>
    </w:tbl>
    <w:p>
      <w:pPr>
        <w:spacing w:after="0"/>
      </w:pPr>
    </w:p>
    <w:p>
      <w:pPr>
        <w:keepNext/>
        <w:spacing w:before="140" w:after="60"/>
      </w:pPr>
      <w:r>
        <w:rPr>
          <w:rFonts w:ascii="Cambria" w:hAnsi="Cambria" w:eastAsia="Cambria"/>
          <w:b/>
          <w:i w:val="0"/>
          <w:color w:val="1F4E79"/>
          <w:sz w:val="24"/>
        </w:rPr>
        <w:t>6. Indicators - What to Measure</w:t>
      </w:r>
    </w:p>
    <w:p>
      <w:pPr>
        <w:spacing w:after="60" w:line="250" w:lineRule="auto"/>
      </w:pPr>
      <w:r>
        <w:rPr>
          <w:rFonts w:ascii="Cambria" w:hAnsi="Cambria" w:eastAsia="Cambria"/>
          <w:b w:val="0"/>
          <w:i w:val="0"/>
          <w:color w:val="000000"/>
          <w:sz w:val="19"/>
        </w:rPr>
        <w:t>Indicators should help management understand whether security arrangements are operating, improving and controlling meaningful risk. Avoid metrics that are easy to count but do not support decisions.</w:t>
      </w:r>
    </w:p>
    <w:tbl>
      <w:tblPr>
        <w:tblW w:type="auto" w:w="0"/>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tblPr>
      <w:tblGrid>
        <w:gridCol w:w="4677"/>
        <w:gridCol w:w="4677"/>
      </w:tblGrid>
      <w:tr>
        <w:trPr>
          <w:cantSplit/>
          <w:tblHeader w:val="true"/>
        </w:trPr>
        <w:tc>
          <w:tcPr>
            <w:tcW w:type="dxa" w:w="2551"/>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6"/>
              </w:rPr>
              <w:t>Indicator Type</w:t>
            </w:r>
          </w:p>
        </w:tc>
        <w:tc>
          <w:tcPr>
            <w:tcW w:type="dxa" w:w="6803"/>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6"/>
              </w:rPr>
              <w:t>Examples of Practical Measures</w:t>
            </w:r>
          </w:p>
        </w:tc>
      </w:tr>
      <w:tr>
        <w:trPr>
          <w:cantSplit/>
        </w:trPr>
        <w:tc>
          <w:tcPr>
            <w:tcW w:type="dxa" w:w="2551"/>
            <w:tcMar>
              <w:top w:w="70" w:type="dxa"/>
              <w:left w:w="80" w:type="dxa"/>
              <w:bottom w:w="70" w:type="dxa"/>
              <w:right w:w="80" w:type="dxa"/>
            </w:tcMar>
            <w:vAlign w:val="top"/>
          </w:tcPr>
          <w:p>
            <w:pPr>
              <w:spacing w:after="0"/>
            </w:pPr>
            <w:r>
              <w:rPr>
                <w:rFonts w:ascii="Cambria" w:hAnsi="Cambria" w:eastAsia="Cambria"/>
                <w:b w:val="0"/>
                <w:i w:val="0"/>
                <w:color w:val="000000"/>
                <w:sz w:val="16"/>
              </w:rPr>
              <w:t>Risk</w:t>
            </w:r>
          </w:p>
        </w:tc>
        <w:tc>
          <w:tcPr>
            <w:tcW w:type="dxa" w:w="6803"/>
            <w:tcMar>
              <w:top w:w="70" w:type="dxa"/>
              <w:left w:w="80" w:type="dxa"/>
              <w:bottom w:w="70" w:type="dxa"/>
              <w:right w:w="80" w:type="dxa"/>
            </w:tcMar>
            <w:vAlign w:val="top"/>
          </w:tcPr>
          <w:p>
            <w:pPr>
              <w:spacing w:after="0"/>
            </w:pPr>
            <w:r>
              <w:rPr>
                <w:rFonts w:ascii="Cambria" w:hAnsi="Cambria" w:eastAsia="Cambria"/>
                <w:b w:val="0"/>
                <w:i w:val="0"/>
                <w:color w:val="000000"/>
                <w:sz w:val="16"/>
              </w:rPr>
              <w:t>High residual risks; overdue risk treatments; risks outside acceptance criteria.</w:t>
            </w:r>
          </w:p>
        </w:tc>
      </w:tr>
      <w:tr>
        <w:trPr>
          <w:cantSplit/>
        </w:trPr>
        <w:tc>
          <w:tcPr>
            <w:tcW w:type="dxa" w:w="2551"/>
            <w:tcMar>
              <w:top w:w="70" w:type="dxa"/>
              <w:left w:w="80" w:type="dxa"/>
              <w:bottom w:w="70" w:type="dxa"/>
              <w:right w:w="80" w:type="dxa"/>
            </w:tcMar>
            <w:vAlign w:val="top"/>
          </w:tcPr>
          <w:p>
            <w:pPr>
              <w:spacing w:after="0"/>
            </w:pPr>
            <w:r>
              <w:rPr>
                <w:rFonts w:ascii="Cambria" w:hAnsi="Cambria" w:eastAsia="Cambria"/>
                <w:b w:val="0"/>
                <w:i w:val="0"/>
                <w:color w:val="000000"/>
                <w:sz w:val="16"/>
              </w:rPr>
              <w:t>Access</w:t>
            </w:r>
          </w:p>
        </w:tc>
        <w:tc>
          <w:tcPr>
            <w:tcW w:type="dxa" w:w="6803"/>
            <w:tcMar>
              <w:top w:w="70" w:type="dxa"/>
              <w:left w:w="80" w:type="dxa"/>
              <w:bottom w:w="70" w:type="dxa"/>
              <w:right w:w="80" w:type="dxa"/>
            </w:tcMar>
            <w:vAlign w:val="top"/>
          </w:tcPr>
          <w:p>
            <w:pPr>
              <w:spacing w:after="0"/>
            </w:pPr>
            <w:r>
              <w:rPr>
                <w:rFonts w:ascii="Cambria" w:hAnsi="Cambria" w:eastAsia="Cambria"/>
                <w:b w:val="0"/>
                <w:i w:val="0"/>
                <w:color w:val="000000"/>
                <w:sz w:val="16"/>
              </w:rPr>
              <w:t>Privileged access reviews completed; overdue leaver access; stale/high-risk accounts.</w:t>
            </w:r>
          </w:p>
        </w:tc>
      </w:tr>
      <w:tr>
        <w:trPr>
          <w:cantSplit/>
        </w:trPr>
        <w:tc>
          <w:tcPr>
            <w:tcW w:type="dxa" w:w="2551"/>
            <w:tcMar>
              <w:top w:w="70" w:type="dxa"/>
              <w:left w:w="80" w:type="dxa"/>
              <w:bottom w:w="70" w:type="dxa"/>
              <w:right w:w="80" w:type="dxa"/>
            </w:tcMar>
            <w:vAlign w:val="top"/>
          </w:tcPr>
          <w:p>
            <w:pPr>
              <w:spacing w:after="0"/>
            </w:pPr>
            <w:r>
              <w:rPr>
                <w:rFonts w:ascii="Cambria" w:hAnsi="Cambria" w:eastAsia="Cambria"/>
                <w:b w:val="0"/>
                <w:i w:val="0"/>
                <w:color w:val="000000"/>
                <w:sz w:val="16"/>
              </w:rPr>
              <w:t>Vulnerability / Patch</w:t>
            </w:r>
          </w:p>
        </w:tc>
        <w:tc>
          <w:tcPr>
            <w:tcW w:type="dxa" w:w="6803"/>
            <w:tcMar>
              <w:top w:w="70" w:type="dxa"/>
              <w:left w:w="80" w:type="dxa"/>
              <w:bottom w:w="70" w:type="dxa"/>
              <w:right w:w="80" w:type="dxa"/>
            </w:tcMar>
            <w:vAlign w:val="top"/>
          </w:tcPr>
          <w:p>
            <w:pPr>
              <w:spacing w:after="0"/>
            </w:pPr>
            <w:r>
              <w:rPr>
                <w:rFonts w:ascii="Cambria" w:hAnsi="Cambria" w:eastAsia="Cambria"/>
                <w:b w:val="0"/>
                <w:i w:val="0"/>
                <w:color w:val="000000"/>
                <w:sz w:val="16"/>
              </w:rPr>
              <w:t>Critical vulnerabilities past target; remediation cycle time; asset coverage.</w:t>
            </w:r>
          </w:p>
        </w:tc>
      </w:tr>
      <w:tr>
        <w:trPr>
          <w:cantSplit/>
        </w:trPr>
        <w:tc>
          <w:tcPr>
            <w:tcW w:type="dxa" w:w="2551"/>
            <w:tcMar>
              <w:top w:w="70" w:type="dxa"/>
              <w:left w:w="80" w:type="dxa"/>
              <w:bottom w:w="70" w:type="dxa"/>
              <w:right w:w="80" w:type="dxa"/>
            </w:tcMar>
            <w:vAlign w:val="top"/>
          </w:tcPr>
          <w:p>
            <w:pPr>
              <w:spacing w:after="0"/>
            </w:pPr>
            <w:r>
              <w:rPr>
                <w:rFonts w:ascii="Cambria" w:hAnsi="Cambria" w:eastAsia="Cambria"/>
                <w:b w:val="0"/>
                <w:i w:val="0"/>
                <w:color w:val="000000"/>
                <w:sz w:val="16"/>
              </w:rPr>
              <w:t>Incident</w:t>
            </w:r>
          </w:p>
        </w:tc>
        <w:tc>
          <w:tcPr>
            <w:tcW w:type="dxa" w:w="6803"/>
            <w:tcMar>
              <w:top w:w="70" w:type="dxa"/>
              <w:left w:w="80" w:type="dxa"/>
              <w:bottom w:w="70" w:type="dxa"/>
              <w:right w:w="80" w:type="dxa"/>
            </w:tcMar>
            <w:vAlign w:val="top"/>
          </w:tcPr>
          <w:p>
            <w:pPr>
              <w:spacing w:after="0"/>
            </w:pPr>
            <w:r>
              <w:rPr>
                <w:rFonts w:ascii="Cambria" w:hAnsi="Cambria" w:eastAsia="Cambria"/>
                <w:b w:val="0"/>
                <w:i w:val="0"/>
                <w:color w:val="000000"/>
                <w:sz w:val="16"/>
              </w:rPr>
              <w:t>Material incidents; detection/response time; recurring incident causes; overdue actions.</w:t>
            </w:r>
          </w:p>
        </w:tc>
      </w:tr>
      <w:tr>
        <w:trPr>
          <w:cantSplit/>
        </w:trPr>
        <w:tc>
          <w:tcPr>
            <w:tcW w:type="dxa" w:w="2551"/>
            <w:tcMar>
              <w:top w:w="70" w:type="dxa"/>
              <w:left w:w="80" w:type="dxa"/>
              <w:bottom w:w="70" w:type="dxa"/>
              <w:right w:w="80" w:type="dxa"/>
            </w:tcMar>
            <w:vAlign w:val="top"/>
          </w:tcPr>
          <w:p>
            <w:pPr>
              <w:spacing w:after="0"/>
            </w:pPr>
            <w:r>
              <w:rPr>
                <w:rFonts w:ascii="Cambria" w:hAnsi="Cambria" w:eastAsia="Cambria"/>
                <w:b w:val="0"/>
                <w:i w:val="0"/>
                <w:color w:val="000000"/>
                <w:sz w:val="16"/>
              </w:rPr>
              <w:t>Awareness / People</w:t>
            </w:r>
          </w:p>
        </w:tc>
        <w:tc>
          <w:tcPr>
            <w:tcW w:type="dxa" w:w="6803"/>
            <w:tcMar>
              <w:top w:w="70" w:type="dxa"/>
              <w:left w:w="80" w:type="dxa"/>
              <w:bottom w:w="70" w:type="dxa"/>
              <w:right w:w="80" w:type="dxa"/>
            </w:tcMar>
            <w:vAlign w:val="top"/>
          </w:tcPr>
          <w:p>
            <w:pPr>
              <w:spacing w:after="0"/>
            </w:pPr>
            <w:r>
              <w:rPr>
                <w:rFonts w:ascii="Cambria" w:hAnsi="Cambria" w:eastAsia="Cambria"/>
                <w:b w:val="0"/>
                <w:i w:val="0"/>
                <w:color w:val="000000"/>
                <w:sz w:val="16"/>
              </w:rPr>
              <w:t>Awareness completion; phishing/simulation trends where used; role-based training completion.</w:t>
            </w:r>
          </w:p>
        </w:tc>
      </w:tr>
      <w:tr>
        <w:trPr>
          <w:cantSplit/>
        </w:trPr>
        <w:tc>
          <w:tcPr>
            <w:tcW w:type="dxa" w:w="2551"/>
            <w:tcMar>
              <w:top w:w="70" w:type="dxa"/>
              <w:left w:w="80" w:type="dxa"/>
              <w:bottom w:w="70" w:type="dxa"/>
              <w:right w:w="80" w:type="dxa"/>
            </w:tcMar>
            <w:vAlign w:val="top"/>
          </w:tcPr>
          <w:p>
            <w:pPr>
              <w:spacing w:after="0"/>
            </w:pPr>
            <w:r>
              <w:rPr>
                <w:rFonts w:ascii="Cambria" w:hAnsi="Cambria" w:eastAsia="Cambria"/>
                <w:b w:val="0"/>
                <w:i w:val="0"/>
                <w:color w:val="000000"/>
                <w:sz w:val="16"/>
              </w:rPr>
              <w:t>Backup / Resilience</w:t>
            </w:r>
          </w:p>
        </w:tc>
        <w:tc>
          <w:tcPr>
            <w:tcW w:type="dxa" w:w="6803"/>
            <w:tcMar>
              <w:top w:w="70" w:type="dxa"/>
              <w:left w:w="80" w:type="dxa"/>
              <w:bottom w:w="70" w:type="dxa"/>
              <w:right w:w="80" w:type="dxa"/>
            </w:tcMar>
            <w:vAlign w:val="top"/>
          </w:tcPr>
          <w:p>
            <w:pPr>
              <w:spacing w:after="0"/>
            </w:pPr>
            <w:r>
              <w:rPr>
                <w:rFonts w:ascii="Cambria" w:hAnsi="Cambria" w:eastAsia="Cambria"/>
                <w:b w:val="0"/>
                <w:i w:val="0"/>
                <w:color w:val="000000"/>
                <w:sz w:val="16"/>
              </w:rPr>
              <w:t>Backup success; restore-test success; overdue recovery tests; recovery exceptions.</w:t>
            </w:r>
          </w:p>
        </w:tc>
      </w:tr>
      <w:tr>
        <w:trPr>
          <w:cantSplit/>
        </w:trPr>
        <w:tc>
          <w:tcPr>
            <w:tcW w:type="dxa" w:w="2551"/>
            <w:tcMar>
              <w:top w:w="70" w:type="dxa"/>
              <w:left w:w="80" w:type="dxa"/>
              <w:bottom w:w="70" w:type="dxa"/>
              <w:right w:w="80" w:type="dxa"/>
            </w:tcMar>
            <w:vAlign w:val="top"/>
          </w:tcPr>
          <w:p>
            <w:pPr>
              <w:spacing w:after="0"/>
            </w:pPr>
            <w:r>
              <w:rPr>
                <w:rFonts w:ascii="Cambria" w:hAnsi="Cambria" w:eastAsia="Cambria"/>
                <w:b w:val="0"/>
                <w:i w:val="0"/>
                <w:color w:val="000000"/>
                <w:sz w:val="16"/>
              </w:rPr>
              <w:t>Supplier</w:t>
            </w:r>
          </w:p>
        </w:tc>
        <w:tc>
          <w:tcPr>
            <w:tcW w:type="dxa" w:w="6803"/>
            <w:tcMar>
              <w:top w:w="70" w:type="dxa"/>
              <w:left w:w="80" w:type="dxa"/>
              <w:bottom w:w="70" w:type="dxa"/>
              <w:right w:w="80" w:type="dxa"/>
            </w:tcMar>
            <w:vAlign w:val="top"/>
          </w:tcPr>
          <w:p>
            <w:pPr>
              <w:spacing w:after="0"/>
            </w:pPr>
            <w:r>
              <w:rPr>
                <w:rFonts w:ascii="Cambria" w:hAnsi="Cambria" w:eastAsia="Cambria"/>
                <w:b w:val="0"/>
                <w:i w:val="0"/>
                <w:color w:val="000000"/>
                <w:sz w:val="16"/>
              </w:rPr>
              <w:t>High-risk supplier reviews completed; overdue remediation; contractual security coverage.</w:t>
            </w:r>
          </w:p>
        </w:tc>
      </w:tr>
      <w:tr>
        <w:trPr>
          <w:cantSplit/>
        </w:trPr>
        <w:tc>
          <w:tcPr>
            <w:tcW w:type="dxa" w:w="2551"/>
            <w:tcMar>
              <w:top w:w="70" w:type="dxa"/>
              <w:left w:w="80" w:type="dxa"/>
              <w:bottom w:w="70" w:type="dxa"/>
              <w:right w:w="80" w:type="dxa"/>
            </w:tcMar>
            <w:vAlign w:val="top"/>
          </w:tcPr>
          <w:p>
            <w:pPr>
              <w:spacing w:after="0"/>
            </w:pPr>
            <w:r>
              <w:rPr>
                <w:rFonts w:ascii="Cambria" w:hAnsi="Cambria" w:eastAsia="Cambria"/>
                <w:b w:val="0"/>
                <w:i w:val="0"/>
                <w:color w:val="000000"/>
                <w:sz w:val="16"/>
              </w:rPr>
              <w:t>Audit / CAPA</w:t>
            </w:r>
          </w:p>
        </w:tc>
        <w:tc>
          <w:tcPr>
            <w:tcW w:type="dxa" w:w="6803"/>
            <w:tcMar>
              <w:top w:w="70" w:type="dxa"/>
              <w:left w:w="80" w:type="dxa"/>
              <w:bottom w:w="70" w:type="dxa"/>
              <w:right w:w="80" w:type="dxa"/>
            </w:tcMar>
            <w:vAlign w:val="top"/>
          </w:tcPr>
          <w:p>
            <w:pPr>
              <w:spacing w:after="0"/>
            </w:pPr>
            <w:r>
              <w:rPr>
                <w:rFonts w:ascii="Cambria" w:hAnsi="Cambria" w:eastAsia="Cambria"/>
                <w:b w:val="0"/>
                <w:i w:val="0"/>
                <w:color w:val="000000"/>
                <w:sz w:val="16"/>
              </w:rPr>
              <w:t>Audit completion; overdue findings; corrective-action recurrence; closure effectiveness.</w:t>
            </w:r>
          </w:p>
        </w:tc>
      </w:tr>
      <w:tr>
        <w:trPr>
          <w:cantSplit/>
        </w:trPr>
        <w:tc>
          <w:tcPr>
            <w:tcW w:type="dxa" w:w="2551"/>
            <w:tcMar>
              <w:top w:w="70" w:type="dxa"/>
              <w:left w:w="80" w:type="dxa"/>
              <w:bottom w:w="70" w:type="dxa"/>
              <w:right w:w="80" w:type="dxa"/>
            </w:tcMar>
            <w:vAlign w:val="top"/>
          </w:tcPr>
          <w:p>
            <w:pPr>
              <w:spacing w:after="0"/>
            </w:pPr>
            <w:r>
              <w:rPr>
                <w:rFonts w:ascii="Cambria" w:hAnsi="Cambria" w:eastAsia="Cambria"/>
                <w:b w:val="0"/>
                <w:i w:val="0"/>
                <w:color w:val="000000"/>
                <w:sz w:val="16"/>
              </w:rPr>
              <w:t>Objective / Improvement</w:t>
            </w:r>
          </w:p>
        </w:tc>
        <w:tc>
          <w:tcPr>
            <w:tcW w:type="dxa" w:w="6803"/>
            <w:tcMar>
              <w:top w:w="70" w:type="dxa"/>
              <w:left w:w="80" w:type="dxa"/>
              <w:bottom w:w="70" w:type="dxa"/>
              <w:right w:w="80" w:type="dxa"/>
            </w:tcMar>
            <w:vAlign w:val="top"/>
          </w:tcPr>
          <w:p>
            <w:pPr>
              <w:spacing w:after="0"/>
            </w:pPr>
            <w:r>
              <w:rPr>
                <w:rFonts w:ascii="Cambria" w:hAnsi="Cambria" w:eastAsia="Cambria"/>
                <w:b w:val="0"/>
                <w:i w:val="0"/>
                <w:color w:val="000000"/>
                <w:sz w:val="16"/>
              </w:rPr>
              <w:t>Objective attainment; improvement actions completed; benefit/effectiveness indicators.</w:t>
            </w:r>
          </w:p>
        </w:tc>
      </w:tr>
    </w:tbl>
    <w:p>
      <w:pPr>
        <w:spacing w:after="0"/>
      </w:pPr>
    </w:p>
    <w:p>
      <w:pPr>
        <w:keepNext/>
        <w:spacing w:before="140" w:after="60"/>
      </w:pPr>
      <w:r>
        <w:rPr>
          <w:rFonts w:ascii="Cambria" w:hAnsi="Cambria" w:eastAsia="Cambria"/>
          <w:b/>
          <w:i w:val="0"/>
          <w:color w:val="1F4E79"/>
          <w:sz w:val="24"/>
        </w:rPr>
        <w:t>7. Starter Indicator Register</w:t>
      </w:r>
    </w:p>
    <w:tbl>
      <w:tblPr>
        <w:tblW w:type="auto" w:w="0"/>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tblPr>
      <w:tblGrid>
        <w:gridCol w:w="1871"/>
        <w:gridCol w:w="1871"/>
        <w:gridCol w:w="1871"/>
        <w:gridCol w:w="1871"/>
        <w:gridCol w:w="1871"/>
      </w:tblGrid>
      <w:tr>
        <w:trPr>
          <w:cantSplit/>
          <w:tblHeader w:val="true"/>
        </w:trPr>
        <w:tc>
          <w:tcPr>
            <w:tcW w:type="dxa" w:w="2154"/>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5"/>
              </w:rPr>
              <w:t>Indicator</w:t>
            </w:r>
          </w:p>
        </w:tc>
        <w:tc>
          <w:tcPr>
            <w:tcW w:type="dxa" w:w="3118"/>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5"/>
              </w:rPr>
              <w:t>Formula / Basis</w:t>
            </w:r>
          </w:p>
        </w:tc>
        <w:tc>
          <w:tcPr>
            <w:tcW w:type="dxa" w:w="1587"/>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5"/>
              </w:rPr>
              <w:t>Owner</w:t>
            </w:r>
          </w:p>
        </w:tc>
        <w:tc>
          <w:tcPr>
            <w:tcW w:type="dxa" w:w="1247"/>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5"/>
              </w:rPr>
              <w:t>Review</w:t>
            </w:r>
          </w:p>
        </w:tc>
        <w:tc>
          <w:tcPr>
            <w:tcW w:type="dxa" w:w="1247"/>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5"/>
              </w:rPr>
              <w:t>Example Trigger</w:t>
            </w:r>
          </w:p>
        </w:tc>
      </w:tr>
      <w:tr>
        <w:trPr>
          <w:cantSplit/>
        </w:trPr>
        <w:tc>
          <w:tcPr>
            <w:tcW w:type="dxa" w:w="2154"/>
            <w:tcMar>
              <w:top w:w="70" w:type="dxa"/>
              <w:left w:w="80" w:type="dxa"/>
              <w:bottom w:w="70" w:type="dxa"/>
              <w:right w:w="80" w:type="dxa"/>
            </w:tcMar>
            <w:vAlign w:val="top"/>
          </w:tcPr>
          <w:p>
            <w:pPr>
              <w:spacing w:after="0"/>
            </w:pPr>
            <w:r>
              <w:rPr>
                <w:rFonts w:ascii="Cambria" w:hAnsi="Cambria" w:eastAsia="Cambria"/>
                <w:b w:val="0"/>
                <w:i w:val="0"/>
                <w:color w:val="000000"/>
                <w:sz w:val="15"/>
              </w:rPr>
              <w:t>Overdue high-risk treatments</w:t>
            </w:r>
          </w:p>
        </w:tc>
        <w:tc>
          <w:tcPr>
            <w:tcW w:type="dxa" w:w="3118"/>
            <w:tcMar>
              <w:top w:w="70" w:type="dxa"/>
              <w:left w:w="80" w:type="dxa"/>
              <w:bottom w:w="70" w:type="dxa"/>
              <w:right w:w="80" w:type="dxa"/>
            </w:tcMar>
            <w:vAlign w:val="top"/>
          </w:tcPr>
          <w:p>
            <w:pPr>
              <w:spacing w:after="0"/>
            </w:pPr>
            <w:r>
              <w:rPr>
                <w:rFonts w:ascii="Cambria" w:hAnsi="Cambria" w:eastAsia="Cambria"/>
                <w:b w:val="0"/>
                <w:i w:val="0"/>
                <w:color w:val="000000"/>
                <w:sz w:val="15"/>
              </w:rPr>
              <w:t>Count of high-risk treatment actions past due</w:t>
            </w:r>
          </w:p>
        </w:tc>
        <w:tc>
          <w:tcPr>
            <w:tcW w:type="dxa" w:w="1587"/>
            <w:tcMar>
              <w:top w:w="70" w:type="dxa"/>
              <w:left w:w="80" w:type="dxa"/>
              <w:bottom w:w="70" w:type="dxa"/>
              <w:right w:w="80" w:type="dxa"/>
            </w:tcMar>
            <w:vAlign w:val="top"/>
          </w:tcPr>
          <w:p>
            <w:pPr>
              <w:spacing w:after="0"/>
            </w:pPr>
            <w:r>
              <w:rPr>
                <w:rFonts w:ascii="Cambria" w:hAnsi="Cambria" w:eastAsia="Cambria"/>
                <w:b w:val="0"/>
                <w:i w:val="0"/>
                <w:color w:val="000000"/>
                <w:sz w:val="15"/>
              </w:rPr>
              <w:t>ISMS Manager</w:t>
            </w:r>
          </w:p>
        </w:tc>
        <w:tc>
          <w:tcPr>
            <w:tcW w:type="dxa" w:w="1247"/>
            <w:tcMar>
              <w:top w:w="70" w:type="dxa"/>
              <w:left w:w="80" w:type="dxa"/>
              <w:bottom w:w="70" w:type="dxa"/>
              <w:right w:w="80" w:type="dxa"/>
            </w:tcMar>
            <w:vAlign w:val="top"/>
          </w:tcPr>
          <w:p>
            <w:pPr>
              <w:spacing w:after="0"/>
            </w:pPr>
            <w:r>
              <w:rPr>
                <w:rFonts w:ascii="Cambria" w:hAnsi="Cambria" w:eastAsia="Cambria"/>
                <w:b w:val="0"/>
                <w:i w:val="0"/>
                <w:color w:val="000000"/>
                <w:sz w:val="15"/>
              </w:rPr>
              <w:t>Monthly</w:t>
            </w:r>
          </w:p>
        </w:tc>
        <w:tc>
          <w:tcPr>
            <w:tcW w:type="dxa" w:w="1247"/>
            <w:tcMar>
              <w:top w:w="70" w:type="dxa"/>
              <w:left w:w="80" w:type="dxa"/>
              <w:bottom w:w="70" w:type="dxa"/>
              <w:right w:w="80" w:type="dxa"/>
            </w:tcMar>
            <w:vAlign w:val="top"/>
          </w:tcPr>
          <w:p>
            <w:pPr>
              <w:spacing w:after="0"/>
            </w:pPr>
            <w:r>
              <w:rPr>
                <w:rFonts w:ascii="Cambria" w:hAnsi="Cambria" w:eastAsia="Cambria"/>
                <w:b w:val="0"/>
                <w:i w:val="0"/>
                <w:color w:val="000000"/>
                <w:sz w:val="15"/>
              </w:rPr>
              <w:t>Any overdue item</w:t>
            </w:r>
          </w:p>
        </w:tc>
      </w:tr>
      <w:tr>
        <w:trPr>
          <w:cantSplit/>
        </w:trPr>
        <w:tc>
          <w:tcPr>
            <w:tcW w:type="dxa" w:w="2154"/>
            <w:tcMar>
              <w:top w:w="70" w:type="dxa"/>
              <w:left w:w="80" w:type="dxa"/>
              <w:bottom w:w="70" w:type="dxa"/>
              <w:right w:w="80" w:type="dxa"/>
            </w:tcMar>
            <w:vAlign w:val="top"/>
          </w:tcPr>
          <w:p>
            <w:pPr>
              <w:spacing w:after="0"/>
            </w:pPr>
            <w:r>
              <w:rPr>
                <w:rFonts w:ascii="Cambria" w:hAnsi="Cambria" w:eastAsia="Cambria"/>
                <w:b w:val="0"/>
                <w:i w:val="0"/>
                <w:color w:val="000000"/>
                <w:sz w:val="15"/>
              </w:rPr>
              <w:t>Critical vulnerability ageing</w:t>
            </w:r>
          </w:p>
        </w:tc>
        <w:tc>
          <w:tcPr>
            <w:tcW w:type="dxa" w:w="3118"/>
            <w:tcMar>
              <w:top w:w="70" w:type="dxa"/>
              <w:left w:w="80" w:type="dxa"/>
              <w:bottom w:w="70" w:type="dxa"/>
              <w:right w:w="80" w:type="dxa"/>
            </w:tcMar>
            <w:vAlign w:val="top"/>
          </w:tcPr>
          <w:p>
            <w:pPr>
              <w:spacing w:after="0"/>
            </w:pPr>
            <w:r>
              <w:rPr>
                <w:rFonts w:ascii="Cambria" w:hAnsi="Cambria" w:eastAsia="Cambria"/>
                <w:b w:val="0"/>
                <w:i w:val="0"/>
                <w:color w:val="000000"/>
                <w:sz w:val="15"/>
              </w:rPr>
              <w:t>Count/age of critical vulnerabilities beyond target</w:t>
            </w:r>
          </w:p>
        </w:tc>
        <w:tc>
          <w:tcPr>
            <w:tcW w:type="dxa" w:w="1587"/>
            <w:tcMar>
              <w:top w:w="70" w:type="dxa"/>
              <w:left w:w="80" w:type="dxa"/>
              <w:bottom w:w="70" w:type="dxa"/>
              <w:right w:w="80" w:type="dxa"/>
            </w:tcMar>
            <w:vAlign w:val="top"/>
          </w:tcPr>
          <w:p>
            <w:pPr>
              <w:spacing w:after="0"/>
            </w:pPr>
            <w:r>
              <w:rPr>
                <w:rFonts w:ascii="Cambria" w:hAnsi="Cambria" w:eastAsia="Cambria"/>
                <w:b w:val="0"/>
                <w:i w:val="0"/>
                <w:color w:val="000000"/>
                <w:sz w:val="15"/>
              </w:rPr>
              <w:t>IT / Security</w:t>
            </w:r>
          </w:p>
        </w:tc>
        <w:tc>
          <w:tcPr>
            <w:tcW w:type="dxa" w:w="1247"/>
            <w:tcMar>
              <w:top w:w="70" w:type="dxa"/>
              <w:left w:w="80" w:type="dxa"/>
              <w:bottom w:w="70" w:type="dxa"/>
              <w:right w:w="80" w:type="dxa"/>
            </w:tcMar>
            <w:vAlign w:val="top"/>
          </w:tcPr>
          <w:p>
            <w:pPr>
              <w:spacing w:after="0"/>
            </w:pPr>
            <w:r>
              <w:rPr>
                <w:rFonts w:ascii="Cambria" w:hAnsi="Cambria" w:eastAsia="Cambria"/>
                <w:b w:val="0"/>
                <w:i w:val="0"/>
                <w:color w:val="000000"/>
                <w:sz w:val="15"/>
              </w:rPr>
              <w:t>Weekly/Monthly</w:t>
            </w:r>
          </w:p>
        </w:tc>
        <w:tc>
          <w:tcPr>
            <w:tcW w:type="dxa" w:w="1247"/>
            <w:tcMar>
              <w:top w:w="70" w:type="dxa"/>
              <w:left w:w="80" w:type="dxa"/>
              <w:bottom w:w="70" w:type="dxa"/>
              <w:right w:w="80" w:type="dxa"/>
            </w:tcMar>
            <w:vAlign w:val="top"/>
          </w:tcPr>
          <w:p>
            <w:pPr>
              <w:spacing w:after="0"/>
            </w:pPr>
            <w:r>
              <w:rPr>
                <w:rFonts w:ascii="Cambria" w:hAnsi="Cambria" w:eastAsia="Cambria"/>
                <w:b w:val="0"/>
                <w:i w:val="0"/>
                <w:color w:val="000000"/>
                <w:sz w:val="15"/>
              </w:rPr>
              <w:t>Exceeds approved remediation target</w:t>
            </w:r>
          </w:p>
        </w:tc>
      </w:tr>
      <w:tr>
        <w:trPr>
          <w:cantSplit/>
        </w:trPr>
        <w:tc>
          <w:tcPr>
            <w:tcW w:type="dxa" w:w="2154"/>
            <w:tcMar>
              <w:top w:w="70" w:type="dxa"/>
              <w:left w:w="80" w:type="dxa"/>
              <w:bottom w:w="70" w:type="dxa"/>
              <w:right w:w="80" w:type="dxa"/>
            </w:tcMar>
            <w:vAlign w:val="top"/>
          </w:tcPr>
          <w:p>
            <w:pPr>
              <w:spacing w:after="0"/>
            </w:pPr>
            <w:r>
              <w:rPr>
                <w:rFonts w:ascii="Cambria" w:hAnsi="Cambria" w:eastAsia="Cambria"/>
                <w:b w:val="0"/>
                <w:i w:val="0"/>
                <w:color w:val="000000"/>
                <w:sz w:val="15"/>
              </w:rPr>
              <w:t>Access review completion</w:t>
            </w:r>
          </w:p>
        </w:tc>
        <w:tc>
          <w:tcPr>
            <w:tcW w:type="dxa" w:w="3118"/>
            <w:tcMar>
              <w:top w:w="70" w:type="dxa"/>
              <w:left w:w="80" w:type="dxa"/>
              <w:bottom w:w="70" w:type="dxa"/>
              <w:right w:w="80" w:type="dxa"/>
            </w:tcMar>
            <w:vAlign w:val="top"/>
          </w:tcPr>
          <w:p>
            <w:pPr>
              <w:spacing w:after="0"/>
            </w:pPr>
            <w:r>
              <w:rPr>
                <w:rFonts w:ascii="Cambria" w:hAnsi="Cambria" w:eastAsia="Cambria"/>
                <w:b w:val="0"/>
                <w:i w:val="0"/>
                <w:color w:val="000000"/>
                <w:sz w:val="15"/>
              </w:rPr>
              <w:t>Completed required reviews / scheduled reviews</w:t>
            </w:r>
          </w:p>
        </w:tc>
        <w:tc>
          <w:tcPr>
            <w:tcW w:type="dxa" w:w="1587"/>
            <w:tcMar>
              <w:top w:w="70" w:type="dxa"/>
              <w:left w:w="80" w:type="dxa"/>
              <w:bottom w:w="70" w:type="dxa"/>
              <w:right w:w="80" w:type="dxa"/>
            </w:tcMar>
            <w:vAlign w:val="top"/>
          </w:tcPr>
          <w:p>
            <w:pPr>
              <w:spacing w:after="0"/>
            </w:pPr>
            <w:r>
              <w:rPr>
                <w:rFonts w:ascii="Cambria" w:hAnsi="Cambria" w:eastAsia="Cambria"/>
                <w:b w:val="0"/>
                <w:i w:val="0"/>
                <w:color w:val="000000"/>
                <w:sz w:val="15"/>
              </w:rPr>
              <w:t>System / Process Owners</w:t>
            </w:r>
          </w:p>
        </w:tc>
        <w:tc>
          <w:tcPr>
            <w:tcW w:type="dxa" w:w="1247"/>
            <w:tcMar>
              <w:top w:w="70" w:type="dxa"/>
              <w:left w:w="80" w:type="dxa"/>
              <w:bottom w:w="70" w:type="dxa"/>
              <w:right w:w="80" w:type="dxa"/>
            </w:tcMar>
            <w:vAlign w:val="top"/>
          </w:tcPr>
          <w:p>
            <w:pPr>
              <w:spacing w:after="0"/>
            </w:pPr>
            <w:r>
              <w:rPr>
                <w:rFonts w:ascii="Cambria" w:hAnsi="Cambria" w:eastAsia="Cambria"/>
                <w:b w:val="0"/>
                <w:i w:val="0"/>
                <w:color w:val="000000"/>
                <w:sz w:val="15"/>
              </w:rPr>
              <w:t>Quarterly</w:t>
            </w:r>
          </w:p>
        </w:tc>
        <w:tc>
          <w:tcPr>
            <w:tcW w:type="dxa" w:w="1247"/>
            <w:tcMar>
              <w:top w:w="70" w:type="dxa"/>
              <w:left w:w="80" w:type="dxa"/>
              <w:bottom w:w="70" w:type="dxa"/>
              <w:right w:w="80" w:type="dxa"/>
            </w:tcMar>
            <w:vAlign w:val="top"/>
          </w:tcPr>
          <w:p>
            <w:pPr>
              <w:spacing w:after="0"/>
            </w:pPr>
            <w:r>
              <w:rPr>
                <w:rFonts w:ascii="Cambria" w:hAnsi="Cambria" w:eastAsia="Cambria"/>
                <w:b w:val="0"/>
                <w:i w:val="0"/>
                <w:color w:val="000000"/>
                <w:sz w:val="15"/>
              </w:rPr>
              <w:t>Below target completion</w:t>
            </w:r>
          </w:p>
        </w:tc>
      </w:tr>
      <w:tr>
        <w:trPr>
          <w:cantSplit/>
        </w:trPr>
        <w:tc>
          <w:tcPr>
            <w:tcW w:type="dxa" w:w="2154"/>
            <w:tcMar>
              <w:top w:w="70" w:type="dxa"/>
              <w:left w:w="80" w:type="dxa"/>
              <w:bottom w:w="70" w:type="dxa"/>
              <w:right w:w="80" w:type="dxa"/>
            </w:tcMar>
            <w:vAlign w:val="top"/>
          </w:tcPr>
          <w:p>
            <w:pPr>
              <w:spacing w:after="0"/>
            </w:pPr>
            <w:r>
              <w:rPr>
                <w:rFonts w:ascii="Cambria" w:hAnsi="Cambria" w:eastAsia="Cambria"/>
                <w:b w:val="0"/>
                <w:i w:val="0"/>
                <w:color w:val="000000"/>
                <w:sz w:val="15"/>
              </w:rPr>
              <w:t>Security incident action closure</w:t>
            </w:r>
          </w:p>
        </w:tc>
        <w:tc>
          <w:tcPr>
            <w:tcW w:type="dxa" w:w="3118"/>
            <w:tcMar>
              <w:top w:w="70" w:type="dxa"/>
              <w:left w:w="80" w:type="dxa"/>
              <w:bottom w:w="70" w:type="dxa"/>
              <w:right w:w="80" w:type="dxa"/>
            </w:tcMar>
            <w:vAlign w:val="top"/>
          </w:tcPr>
          <w:p>
            <w:pPr>
              <w:spacing w:after="0"/>
            </w:pPr>
            <w:r>
              <w:rPr>
                <w:rFonts w:ascii="Cambria" w:hAnsi="Cambria" w:eastAsia="Cambria"/>
                <w:b w:val="0"/>
                <w:i w:val="0"/>
                <w:color w:val="000000"/>
                <w:sz w:val="15"/>
              </w:rPr>
              <w:t>Actions closed on time / actions due</w:t>
            </w:r>
          </w:p>
        </w:tc>
        <w:tc>
          <w:tcPr>
            <w:tcW w:type="dxa" w:w="1587"/>
            <w:tcMar>
              <w:top w:w="70" w:type="dxa"/>
              <w:left w:w="80" w:type="dxa"/>
              <w:bottom w:w="70" w:type="dxa"/>
              <w:right w:w="80" w:type="dxa"/>
            </w:tcMar>
            <w:vAlign w:val="top"/>
          </w:tcPr>
          <w:p>
            <w:pPr>
              <w:spacing w:after="0"/>
            </w:pPr>
            <w:r>
              <w:rPr>
                <w:rFonts w:ascii="Cambria" w:hAnsi="Cambria" w:eastAsia="Cambria"/>
                <w:b w:val="0"/>
                <w:i w:val="0"/>
                <w:color w:val="000000"/>
                <w:sz w:val="15"/>
              </w:rPr>
              <w:t>Incident Owner</w:t>
            </w:r>
          </w:p>
        </w:tc>
        <w:tc>
          <w:tcPr>
            <w:tcW w:type="dxa" w:w="1247"/>
            <w:tcMar>
              <w:top w:w="70" w:type="dxa"/>
              <w:left w:w="80" w:type="dxa"/>
              <w:bottom w:w="70" w:type="dxa"/>
              <w:right w:w="80" w:type="dxa"/>
            </w:tcMar>
            <w:vAlign w:val="top"/>
          </w:tcPr>
          <w:p>
            <w:pPr>
              <w:spacing w:after="0"/>
            </w:pPr>
            <w:r>
              <w:rPr>
                <w:rFonts w:ascii="Cambria" w:hAnsi="Cambria" w:eastAsia="Cambria"/>
                <w:b w:val="0"/>
                <w:i w:val="0"/>
                <w:color w:val="000000"/>
                <w:sz w:val="15"/>
              </w:rPr>
              <w:t>Monthly</w:t>
            </w:r>
          </w:p>
        </w:tc>
        <w:tc>
          <w:tcPr>
            <w:tcW w:type="dxa" w:w="1247"/>
            <w:tcMar>
              <w:top w:w="70" w:type="dxa"/>
              <w:left w:w="80" w:type="dxa"/>
              <w:bottom w:w="70" w:type="dxa"/>
              <w:right w:w="80" w:type="dxa"/>
            </w:tcMar>
            <w:vAlign w:val="top"/>
          </w:tcPr>
          <w:p>
            <w:pPr>
              <w:spacing w:after="0"/>
            </w:pPr>
            <w:r>
              <w:rPr>
                <w:rFonts w:ascii="Cambria" w:hAnsi="Cambria" w:eastAsia="Cambria"/>
                <w:b w:val="0"/>
                <w:i w:val="0"/>
                <w:color w:val="000000"/>
                <w:sz w:val="15"/>
              </w:rPr>
              <w:t>Repeated overdue actions</w:t>
            </w:r>
          </w:p>
        </w:tc>
      </w:tr>
      <w:tr>
        <w:trPr>
          <w:cantSplit/>
        </w:trPr>
        <w:tc>
          <w:tcPr>
            <w:tcW w:type="dxa" w:w="2154"/>
            <w:tcMar>
              <w:top w:w="70" w:type="dxa"/>
              <w:left w:w="80" w:type="dxa"/>
              <w:bottom w:w="70" w:type="dxa"/>
              <w:right w:w="80" w:type="dxa"/>
            </w:tcMar>
            <w:vAlign w:val="top"/>
          </w:tcPr>
          <w:p>
            <w:pPr>
              <w:spacing w:after="0"/>
            </w:pPr>
            <w:r>
              <w:rPr>
                <w:rFonts w:ascii="Cambria" w:hAnsi="Cambria" w:eastAsia="Cambria"/>
                <w:b w:val="0"/>
                <w:i w:val="0"/>
                <w:color w:val="000000"/>
                <w:sz w:val="15"/>
              </w:rPr>
              <w:t>Security awareness completion</w:t>
            </w:r>
          </w:p>
        </w:tc>
        <w:tc>
          <w:tcPr>
            <w:tcW w:type="dxa" w:w="3118"/>
            <w:tcMar>
              <w:top w:w="70" w:type="dxa"/>
              <w:left w:w="80" w:type="dxa"/>
              <w:bottom w:w="70" w:type="dxa"/>
              <w:right w:w="80" w:type="dxa"/>
            </w:tcMar>
            <w:vAlign w:val="top"/>
          </w:tcPr>
          <w:p>
            <w:pPr>
              <w:spacing w:after="0"/>
            </w:pPr>
            <w:r>
              <w:rPr>
                <w:rFonts w:ascii="Cambria" w:hAnsi="Cambria" w:eastAsia="Cambria"/>
                <w:b w:val="0"/>
                <w:i w:val="0"/>
                <w:color w:val="000000"/>
                <w:sz w:val="15"/>
              </w:rPr>
              <w:t>Completed required training / assigned population</w:t>
            </w:r>
          </w:p>
        </w:tc>
        <w:tc>
          <w:tcPr>
            <w:tcW w:type="dxa" w:w="1587"/>
            <w:tcMar>
              <w:top w:w="70" w:type="dxa"/>
              <w:left w:w="80" w:type="dxa"/>
              <w:bottom w:w="70" w:type="dxa"/>
              <w:right w:w="80" w:type="dxa"/>
            </w:tcMar>
            <w:vAlign w:val="top"/>
          </w:tcPr>
          <w:p>
            <w:pPr>
              <w:spacing w:after="0"/>
            </w:pPr>
            <w:r>
              <w:rPr>
                <w:rFonts w:ascii="Cambria" w:hAnsi="Cambria" w:eastAsia="Cambria"/>
                <w:b w:val="0"/>
                <w:i w:val="0"/>
                <w:color w:val="000000"/>
                <w:sz w:val="15"/>
              </w:rPr>
              <w:t>HR / Security</w:t>
            </w:r>
          </w:p>
        </w:tc>
        <w:tc>
          <w:tcPr>
            <w:tcW w:type="dxa" w:w="1247"/>
            <w:tcMar>
              <w:top w:w="70" w:type="dxa"/>
              <w:left w:w="80" w:type="dxa"/>
              <w:bottom w:w="70" w:type="dxa"/>
              <w:right w:w="80" w:type="dxa"/>
            </w:tcMar>
            <w:vAlign w:val="top"/>
          </w:tcPr>
          <w:p>
            <w:pPr>
              <w:spacing w:after="0"/>
            </w:pPr>
            <w:r>
              <w:rPr>
                <w:rFonts w:ascii="Cambria" w:hAnsi="Cambria" w:eastAsia="Cambria"/>
                <w:b w:val="0"/>
                <w:i w:val="0"/>
                <w:color w:val="000000"/>
                <w:sz w:val="15"/>
              </w:rPr>
              <w:t>Monthly</w:t>
            </w:r>
          </w:p>
        </w:tc>
        <w:tc>
          <w:tcPr>
            <w:tcW w:type="dxa" w:w="1247"/>
            <w:tcMar>
              <w:top w:w="70" w:type="dxa"/>
              <w:left w:w="80" w:type="dxa"/>
              <w:bottom w:w="70" w:type="dxa"/>
              <w:right w:w="80" w:type="dxa"/>
            </w:tcMar>
            <w:vAlign w:val="top"/>
          </w:tcPr>
          <w:p>
            <w:pPr>
              <w:spacing w:after="0"/>
            </w:pPr>
            <w:r>
              <w:rPr>
                <w:rFonts w:ascii="Cambria" w:hAnsi="Cambria" w:eastAsia="Cambria"/>
                <w:b w:val="0"/>
                <w:i w:val="0"/>
                <w:color w:val="000000"/>
                <w:sz w:val="15"/>
              </w:rPr>
              <w:t>Below target by due date</w:t>
            </w:r>
          </w:p>
        </w:tc>
      </w:tr>
      <w:tr>
        <w:trPr>
          <w:cantSplit/>
        </w:trPr>
        <w:tc>
          <w:tcPr>
            <w:tcW w:type="dxa" w:w="2154"/>
            <w:tcMar>
              <w:top w:w="70" w:type="dxa"/>
              <w:left w:w="80" w:type="dxa"/>
              <w:bottom w:w="70" w:type="dxa"/>
              <w:right w:w="80" w:type="dxa"/>
            </w:tcMar>
            <w:vAlign w:val="top"/>
          </w:tcPr>
          <w:p>
            <w:pPr>
              <w:spacing w:after="0"/>
            </w:pPr>
            <w:r>
              <w:rPr>
                <w:rFonts w:ascii="Cambria" w:hAnsi="Cambria" w:eastAsia="Cambria"/>
                <w:b w:val="0"/>
                <w:i w:val="0"/>
                <w:color w:val="000000"/>
                <w:sz w:val="15"/>
              </w:rPr>
              <w:t>Internal audit action ageing</w:t>
            </w:r>
          </w:p>
        </w:tc>
        <w:tc>
          <w:tcPr>
            <w:tcW w:type="dxa" w:w="3118"/>
            <w:tcMar>
              <w:top w:w="70" w:type="dxa"/>
              <w:left w:w="80" w:type="dxa"/>
              <w:bottom w:w="70" w:type="dxa"/>
              <w:right w:w="80" w:type="dxa"/>
            </w:tcMar>
            <w:vAlign w:val="top"/>
          </w:tcPr>
          <w:p>
            <w:pPr>
              <w:spacing w:after="0"/>
            </w:pPr>
            <w:r>
              <w:rPr>
                <w:rFonts w:ascii="Cambria" w:hAnsi="Cambria" w:eastAsia="Cambria"/>
                <w:b w:val="0"/>
                <w:i w:val="0"/>
                <w:color w:val="000000"/>
                <w:sz w:val="15"/>
              </w:rPr>
              <w:t>Open finding age and overdue count</w:t>
            </w:r>
          </w:p>
        </w:tc>
        <w:tc>
          <w:tcPr>
            <w:tcW w:type="dxa" w:w="1587"/>
            <w:tcMar>
              <w:top w:w="70" w:type="dxa"/>
              <w:left w:w="80" w:type="dxa"/>
              <w:bottom w:w="70" w:type="dxa"/>
              <w:right w:w="80" w:type="dxa"/>
            </w:tcMar>
            <w:vAlign w:val="top"/>
          </w:tcPr>
          <w:p>
            <w:pPr>
              <w:spacing w:after="0"/>
            </w:pPr>
            <w:r>
              <w:rPr>
                <w:rFonts w:ascii="Cambria" w:hAnsi="Cambria" w:eastAsia="Cambria"/>
                <w:b w:val="0"/>
                <w:i w:val="0"/>
                <w:color w:val="000000"/>
                <w:sz w:val="15"/>
              </w:rPr>
              <w:t>ISMS Manager</w:t>
            </w:r>
          </w:p>
        </w:tc>
        <w:tc>
          <w:tcPr>
            <w:tcW w:type="dxa" w:w="1247"/>
            <w:tcMar>
              <w:top w:w="70" w:type="dxa"/>
              <w:left w:w="80" w:type="dxa"/>
              <w:bottom w:w="70" w:type="dxa"/>
              <w:right w:w="80" w:type="dxa"/>
            </w:tcMar>
            <w:vAlign w:val="top"/>
          </w:tcPr>
          <w:p>
            <w:pPr>
              <w:spacing w:after="0"/>
            </w:pPr>
            <w:r>
              <w:rPr>
                <w:rFonts w:ascii="Cambria" w:hAnsi="Cambria" w:eastAsia="Cambria"/>
                <w:b w:val="0"/>
                <w:i w:val="0"/>
                <w:color w:val="000000"/>
                <w:sz w:val="15"/>
              </w:rPr>
              <w:t>Monthly</w:t>
            </w:r>
          </w:p>
        </w:tc>
        <w:tc>
          <w:tcPr>
            <w:tcW w:type="dxa" w:w="1247"/>
            <w:tcMar>
              <w:top w:w="70" w:type="dxa"/>
              <w:left w:w="80" w:type="dxa"/>
              <w:bottom w:w="70" w:type="dxa"/>
              <w:right w:w="80" w:type="dxa"/>
            </w:tcMar>
            <w:vAlign w:val="top"/>
          </w:tcPr>
          <w:p>
            <w:pPr>
              <w:spacing w:after="0"/>
            </w:pPr>
            <w:r>
              <w:rPr>
                <w:rFonts w:ascii="Cambria" w:hAnsi="Cambria" w:eastAsia="Cambria"/>
                <w:b w:val="0"/>
                <w:i w:val="0"/>
                <w:color w:val="000000"/>
                <w:sz w:val="15"/>
              </w:rPr>
              <w:t>High-risk/major finding overdue</w:t>
            </w:r>
          </w:p>
        </w:tc>
      </w:tr>
      <w:tr>
        <w:trPr>
          <w:cantSplit/>
        </w:trPr>
        <w:tc>
          <w:tcPr>
            <w:tcW w:type="dxa" w:w="2154"/>
            <w:tcMar>
              <w:top w:w="70" w:type="dxa"/>
              <w:left w:w="80" w:type="dxa"/>
              <w:bottom w:w="70" w:type="dxa"/>
              <w:right w:w="80" w:type="dxa"/>
            </w:tcMar>
            <w:vAlign w:val="top"/>
          </w:tcPr>
          <w:p>
            <w:pPr>
              <w:spacing w:after="0"/>
            </w:pPr>
            <w:r>
              <w:rPr>
                <w:rFonts w:ascii="Cambria" w:hAnsi="Cambria" w:eastAsia="Cambria"/>
                <w:b w:val="0"/>
                <w:i w:val="0"/>
                <w:color w:val="000000"/>
                <w:sz w:val="15"/>
              </w:rPr>
              <w:t>Supplier security review coverage</w:t>
            </w:r>
          </w:p>
        </w:tc>
        <w:tc>
          <w:tcPr>
            <w:tcW w:type="dxa" w:w="3118"/>
            <w:tcMar>
              <w:top w:w="70" w:type="dxa"/>
              <w:left w:w="80" w:type="dxa"/>
              <w:bottom w:w="70" w:type="dxa"/>
              <w:right w:w="80" w:type="dxa"/>
            </w:tcMar>
            <w:vAlign w:val="top"/>
          </w:tcPr>
          <w:p>
            <w:pPr>
              <w:spacing w:after="0"/>
            </w:pPr>
            <w:r>
              <w:rPr>
                <w:rFonts w:ascii="Cambria" w:hAnsi="Cambria" w:eastAsia="Cambria"/>
                <w:b w:val="0"/>
                <w:i w:val="0"/>
                <w:color w:val="000000"/>
                <w:sz w:val="15"/>
              </w:rPr>
              <w:t>Completed required reviews / high-risk suppliers</w:t>
            </w:r>
          </w:p>
        </w:tc>
        <w:tc>
          <w:tcPr>
            <w:tcW w:type="dxa" w:w="1587"/>
            <w:tcMar>
              <w:top w:w="70" w:type="dxa"/>
              <w:left w:w="80" w:type="dxa"/>
              <w:bottom w:w="70" w:type="dxa"/>
              <w:right w:w="80" w:type="dxa"/>
            </w:tcMar>
            <w:vAlign w:val="top"/>
          </w:tcPr>
          <w:p>
            <w:pPr>
              <w:spacing w:after="0"/>
            </w:pPr>
            <w:r>
              <w:rPr>
                <w:rFonts w:ascii="Cambria" w:hAnsi="Cambria" w:eastAsia="Cambria"/>
                <w:b w:val="0"/>
                <w:i w:val="0"/>
                <w:color w:val="000000"/>
                <w:sz w:val="15"/>
              </w:rPr>
              <w:t>Procurement / Security</w:t>
            </w:r>
          </w:p>
        </w:tc>
        <w:tc>
          <w:tcPr>
            <w:tcW w:type="dxa" w:w="1247"/>
            <w:tcMar>
              <w:top w:w="70" w:type="dxa"/>
              <w:left w:w="80" w:type="dxa"/>
              <w:bottom w:w="70" w:type="dxa"/>
              <w:right w:w="80" w:type="dxa"/>
            </w:tcMar>
            <w:vAlign w:val="top"/>
          </w:tcPr>
          <w:p>
            <w:pPr>
              <w:spacing w:after="0"/>
            </w:pPr>
            <w:r>
              <w:rPr>
                <w:rFonts w:ascii="Cambria" w:hAnsi="Cambria" w:eastAsia="Cambria"/>
                <w:b w:val="0"/>
                <w:i w:val="0"/>
                <w:color w:val="000000"/>
                <w:sz w:val="15"/>
              </w:rPr>
              <w:t>Quarterly</w:t>
            </w:r>
          </w:p>
        </w:tc>
        <w:tc>
          <w:tcPr>
            <w:tcW w:type="dxa" w:w="1247"/>
            <w:tcMar>
              <w:top w:w="70" w:type="dxa"/>
              <w:left w:w="80" w:type="dxa"/>
              <w:bottom w:w="70" w:type="dxa"/>
              <w:right w:w="80" w:type="dxa"/>
            </w:tcMar>
            <w:vAlign w:val="top"/>
          </w:tcPr>
          <w:p>
            <w:pPr>
              <w:spacing w:after="0"/>
            </w:pPr>
            <w:r>
              <w:rPr>
                <w:rFonts w:ascii="Cambria" w:hAnsi="Cambria" w:eastAsia="Cambria"/>
                <w:b w:val="0"/>
                <w:i w:val="0"/>
                <w:color w:val="000000"/>
                <w:sz w:val="15"/>
              </w:rPr>
              <w:t>Coverage below target</w:t>
            </w:r>
          </w:p>
        </w:tc>
      </w:tr>
      <w:tr>
        <w:trPr>
          <w:cantSplit/>
        </w:trPr>
        <w:tc>
          <w:tcPr>
            <w:tcW w:type="dxa" w:w="2154"/>
            <w:tcMar>
              <w:top w:w="70" w:type="dxa"/>
              <w:left w:w="80" w:type="dxa"/>
              <w:bottom w:w="70" w:type="dxa"/>
              <w:right w:w="80" w:type="dxa"/>
            </w:tcMar>
            <w:vAlign w:val="top"/>
          </w:tcPr>
          <w:p>
            <w:pPr>
              <w:spacing w:after="0"/>
            </w:pPr>
            <w:r>
              <w:rPr>
                <w:rFonts w:ascii="Cambria" w:hAnsi="Cambria" w:eastAsia="Cambria"/>
                <w:b w:val="0"/>
                <w:i w:val="0"/>
                <w:color w:val="000000"/>
                <w:sz w:val="15"/>
              </w:rPr>
              <w:t>Restore test success</w:t>
            </w:r>
          </w:p>
        </w:tc>
        <w:tc>
          <w:tcPr>
            <w:tcW w:type="dxa" w:w="3118"/>
            <w:tcMar>
              <w:top w:w="70" w:type="dxa"/>
              <w:left w:w="80" w:type="dxa"/>
              <w:bottom w:w="70" w:type="dxa"/>
              <w:right w:w="80" w:type="dxa"/>
            </w:tcMar>
            <w:vAlign w:val="top"/>
          </w:tcPr>
          <w:p>
            <w:pPr>
              <w:spacing w:after="0"/>
            </w:pPr>
            <w:r>
              <w:rPr>
                <w:rFonts w:ascii="Cambria" w:hAnsi="Cambria" w:eastAsia="Cambria"/>
                <w:b w:val="0"/>
                <w:i w:val="0"/>
                <w:color w:val="000000"/>
                <w:sz w:val="15"/>
              </w:rPr>
              <w:t>Successful restore tests / planned tests</w:t>
            </w:r>
          </w:p>
        </w:tc>
        <w:tc>
          <w:tcPr>
            <w:tcW w:type="dxa" w:w="1587"/>
            <w:tcMar>
              <w:top w:w="70" w:type="dxa"/>
              <w:left w:w="80" w:type="dxa"/>
              <w:bottom w:w="70" w:type="dxa"/>
              <w:right w:w="80" w:type="dxa"/>
            </w:tcMar>
            <w:vAlign w:val="top"/>
          </w:tcPr>
          <w:p>
            <w:pPr>
              <w:spacing w:after="0"/>
            </w:pPr>
            <w:r>
              <w:rPr>
                <w:rFonts w:ascii="Cambria" w:hAnsi="Cambria" w:eastAsia="Cambria"/>
                <w:b w:val="0"/>
                <w:i w:val="0"/>
                <w:color w:val="000000"/>
                <w:sz w:val="15"/>
              </w:rPr>
              <w:t>IT</w:t>
            </w:r>
          </w:p>
        </w:tc>
        <w:tc>
          <w:tcPr>
            <w:tcW w:type="dxa" w:w="1247"/>
            <w:tcMar>
              <w:top w:w="70" w:type="dxa"/>
              <w:left w:w="80" w:type="dxa"/>
              <w:bottom w:w="70" w:type="dxa"/>
              <w:right w:w="80" w:type="dxa"/>
            </w:tcMar>
            <w:vAlign w:val="top"/>
          </w:tcPr>
          <w:p>
            <w:pPr>
              <w:spacing w:after="0"/>
            </w:pPr>
            <w:r>
              <w:rPr>
                <w:rFonts w:ascii="Cambria" w:hAnsi="Cambria" w:eastAsia="Cambria"/>
                <w:b w:val="0"/>
                <w:i w:val="0"/>
                <w:color w:val="000000"/>
                <w:sz w:val="15"/>
              </w:rPr>
              <w:t>Quarterly</w:t>
            </w:r>
          </w:p>
        </w:tc>
        <w:tc>
          <w:tcPr>
            <w:tcW w:type="dxa" w:w="1247"/>
            <w:tcMar>
              <w:top w:w="70" w:type="dxa"/>
              <w:left w:w="80" w:type="dxa"/>
              <w:bottom w:w="70" w:type="dxa"/>
              <w:right w:w="80" w:type="dxa"/>
            </w:tcMar>
            <w:vAlign w:val="top"/>
          </w:tcPr>
          <w:p>
            <w:pPr>
              <w:spacing w:after="0"/>
            </w:pPr>
            <w:r>
              <w:rPr>
                <w:rFonts w:ascii="Cambria" w:hAnsi="Cambria" w:eastAsia="Cambria"/>
                <w:b w:val="0"/>
                <w:i w:val="0"/>
                <w:color w:val="000000"/>
                <w:sz w:val="15"/>
              </w:rPr>
              <w:t>Failed or overdue critical restore test</w:t>
            </w:r>
          </w:p>
        </w:tc>
      </w:tr>
    </w:tbl>
    <w:p>
      <w:pPr>
        <w:spacing w:after="0"/>
      </w:pPr>
    </w:p>
    <w:p>
      <w:pPr>
        <w:keepNext/>
        <w:spacing w:before="140" w:after="60"/>
      </w:pPr>
      <w:r>
        <w:rPr>
          <w:rFonts w:ascii="Cambria" w:hAnsi="Cambria" w:eastAsia="Cambria"/>
          <w:b/>
          <w:i w:val="0"/>
          <w:color w:val="1F4E79"/>
          <w:sz w:val="24"/>
        </w:rPr>
        <w:t>8. Targets and Thresholds</w:t>
      </w:r>
    </w:p>
    <w:p>
      <w:pPr>
        <w:spacing w:after="60" w:line="250" w:lineRule="auto"/>
      </w:pPr>
      <w:r>
        <w:rPr>
          <w:rFonts w:ascii="Cambria" w:hAnsi="Cambria" w:eastAsia="Cambria"/>
          <w:b w:val="0"/>
          <w:i w:val="0"/>
          <w:color w:val="000000"/>
          <w:sz w:val="19"/>
        </w:rPr>
        <w:t>Set targets using risk appetite, regulatory/contractual expectations, service criticality, historical performance and practical capability. A target should drive the right behaviour; avoid setting “zero” targets where they encourage under-reporting or unrealistic concealment of normal operational events.</w:t>
      </w:r>
    </w:p>
    <w:tbl>
      <w:tblPr>
        <w:tblW w:type="auto" w:w="0"/>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tblPr>
      <w:tblGrid>
        <w:gridCol w:w="4677"/>
        <w:gridCol w:w="4677"/>
      </w:tblGrid>
      <w:tr>
        <w:trPr>
          <w:cantSplit/>
          <w:tblHeader w:val="true"/>
        </w:trPr>
        <w:tc>
          <w:tcPr>
            <w:tcW w:type="dxa" w:w="2551"/>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6"/>
              </w:rPr>
              <w:t>Threshold Type</w:t>
            </w:r>
          </w:p>
        </w:tc>
        <w:tc>
          <w:tcPr>
            <w:tcW w:type="dxa" w:w="6803"/>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6"/>
              </w:rPr>
              <w:t>Use</w:t>
            </w:r>
          </w:p>
        </w:tc>
      </w:tr>
      <w:tr>
        <w:trPr>
          <w:cantSplit/>
        </w:trPr>
        <w:tc>
          <w:tcPr>
            <w:tcW w:type="dxa" w:w="2551"/>
            <w:tcMar>
              <w:top w:w="70" w:type="dxa"/>
              <w:left w:w="80" w:type="dxa"/>
              <w:bottom w:w="70" w:type="dxa"/>
              <w:right w:w="80" w:type="dxa"/>
            </w:tcMar>
            <w:vAlign w:val="top"/>
          </w:tcPr>
          <w:p>
            <w:pPr>
              <w:spacing w:after="0"/>
            </w:pPr>
            <w:r>
              <w:rPr>
                <w:rFonts w:ascii="Cambria" w:hAnsi="Cambria" w:eastAsia="Cambria"/>
                <w:b w:val="0"/>
                <w:i w:val="0"/>
                <w:color w:val="000000"/>
                <w:sz w:val="16"/>
              </w:rPr>
              <w:t>Target</w:t>
            </w:r>
          </w:p>
        </w:tc>
        <w:tc>
          <w:tcPr>
            <w:tcW w:type="dxa" w:w="6803"/>
            <w:tcMar>
              <w:top w:w="70" w:type="dxa"/>
              <w:left w:w="80" w:type="dxa"/>
              <w:bottom w:w="70" w:type="dxa"/>
              <w:right w:w="80" w:type="dxa"/>
            </w:tcMar>
            <w:vAlign w:val="top"/>
          </w:tcPr>
          <w:p>
            <w:pPr>
              <w:spacing w:after="0"/>
            </w:pPr>
            <w:r>
              <w:rPr>
                <w:rFonts w:ascii="Cambria" w:hAnsi="Cambria" w:eastAsia="Cambria"/>
                <w:b w:val="0"/>
                <w:i w:val="0"/>
                <w:color w:val="000000"/>
                <w:sz w:val="16"/>
              </w:rPr>
              <w:t>Desired level of performance or completion.</w:t>
            </w:r>
          </w:p>
        </w:tc>
      </w:tr>
      <w:tr>
        <w:trPr>
          <w:cantSplit/>
        </w:trPr>
        <w:tc>
          <w:tcPr>
            <w:tcW w:type="dxa" w:w="2551"/>
            <w:tcMar>
              <w:top w:w="70" w:type="dxa"/>
              <w:left w:w="80" w:type="dxa"/>
              <w:bottom w:w="70" w:type="dxa"/>
              <w:right w:w="80" w:type="dxa"/>
            </w:tcMar>
            <w:vAlign w:val="top"/>
          </w:tcPr>
          <w:p>
            <w:pPr>
              <w:spacing w:after="0"/>
            </w:pPr>
            <w:r>
              <w:rPr>
                <w:rFonts w:ascii="Cambria" w:hAnsi="Cambria" w:eastAsia="Cambria"/>
                <w:b w:val="0"/>
                <w:i w:val="0"/>
                <w:color w:val="000000"/>
                <w:sz w:val="16"/>
              </w:rPr>
              <w:t>Warning / Attention</w:t>
            </w:r>
          </w:p>
        </w:tc>
        <w:tc>
          <w:tcPr>
            <w:tcW w:type="dxa" w:w="6803"/>
            <w:tcMar>
              <w:top w:w="70" w:type="dxa"/>
              <w:left w:w="80" w:type="dxa"/>
              <w:bottom w:w="70" w:type="dxa"/>
              <w:right w:w="80" w:type="dxa"/>
            </w:tcMar>
            <w:vAlign w:val="top"/>
          </w:tcPr>
          <w:p>
            <w:pPr>
              <w:spacing w:after="0"/>
            </w:pPr>
            <w:r>
              <w:rPr>
                <w:rFonts w:ascii="Cambria" w:hAnsi="Cambria" w:eastAsia="Cambria"/>
                <w:b w:val="0"/>
                <w:i w:val="0"/>
                <w:color w:val="000000"/>
                <w:sz w:val="16"/>
              </w:rPr>
              <w:t>Early signal requiring review before the target is missed or risk becomes unacceptable.</w:t>
            </w:r>
          </w:p>
        </w:tc>
      </w:tr>
      <w:tr>
        <w:trPr>
          <w:cantSplit/>
        </w:trPr>
        <w:tc>
          <w:tcPr>
            <w:tcW w:type="dxa" w:w="2551"/>
            <w:tcMar>
              <w:top w:w="70" w:type="dxa"/>
              <w:left w:w="80" w:type="dxa"/>
              <w:bottom w:w="70" w:type="dxa"/>
              <w:right w:w="80" w:type="dxa"/>
            </w:tcMar>
            <w:vAlign w:val="top"/>
          </w:tcPr>
          <w:p>
            <w:pPr>
              <w:spacing w:after="0"/>
            </w:pPr>
            <w:r>
              <w:rPr>
                <w:rFonts w:ascii="Cambria" w:hAnsi="Cambria" w:eastAsia="Cambria"/>
                <w:b w:val="0"/>
                <w:i w:val="0"/>
                <w:color w:val="000000"/>
                <w:sz w:val="16"/>
              </w:rPr>
              <w:t>Escalation</w:t>
            </w:r>
          </w:p>
        </w:tc>
        <w:tc>
          <w:tcPr>
            <w:tcW w:type="dxa" w:w="6803"/>
            <w:tcMar>
              <w:top w:w="70" w:type="dxa"/>
              <w:left w:w="80" w:type="dxa"/>
              <w:bottom w:w="70" w:type="dxa"/>
              <w:right w:w="80" w:type="dxa"/>
            </w:tcMar>
            <w:vAlign w:val="top"/>
          </w:tcPr>
          <w:p>
            <w:pPr>
              <w:spacing w:after="0"/>
            </w:pPr>
            <w:r>
              <w:rPr>
                <w:rFonts w:ascii="Cambria" w:hAnsi="Cambria" w:eastAsia="Cambria"/>
                <w:b w:val="0"/>
                <w:i w:val="0"/>
                <w:color w:val="000000"/>
                <w:sz w:val="16"/>
              </w:rPr>
              <w:t>Condition requiring management attention, risk decision or corrective action.</w:t>
            </w:r>
          </w:p>
        </w:tc>
      </w:tr>
    </w:tbl>
    <w:p>
      <w:pPr>
        <w:spacing w:after="0"/>
      </w:pPr>
    </w:p>
    <w:p>
      <w:pPr>
        <w:keepNext/>
        <w:spacing w:before="140" w:after="60"/>
      </w:pPr>
      <w:r>
        <w:rPr>
          <w:rFonts w:ascii="Cambria" w:hAnsi="Cambria" w:eastAsia="Cambria"/>
          <w:b/>
          <w:i w:val="0"/>
          <w:color w:val="1F4E79"/>
          <w:sz w:val="24"/>
        </w:rPr>
        <w:t>9. Data Quality and Ownership</w:t>
      </w:r>
    </w:p>
    <w:p>
      <w:pPr>
        <w:spacing w:after="30"/>
        <w:ind w:left="283" w:hanging="170"/>
      </w:pPr>
      <w:r>
        <w:rPr>
          <w:rFonts w:ascii="Cambria" w:hAnsi="Cambria" w:eastAsia="Cambria"/>
          <w:b/>
          <w:i w:val="0"/>
          <w:color w:val="1F4E79"/>
          <w:sz w:val="19"/>
        </w:rPr>
        <w:t xml:space="preserve">• </w:t>
      </w:r>
      <w:r>
        <w:rPr>
          <w:rFonts w:ascii="Cambria" w:hAnsi="Cambria" w:eastAsia="Cambria"/>
          <w:b w:val="0"/>
          <w:i w:val="0"/>
          <w:color w:val="000000"/>
          <w:sz w:val="19"/>
        </w:rPr>
        <w:t>Define a named owner for each indicator and its data source.</w:t>
      </w:r>
    </w:p>
    <w:p>
      <w:pPr>
        <w:spacing w:after="30"/>
        <w:ind w:left="283" w:hanging="170"/>
      </w:pPr>
      <w:r>
        <w:rPr>
          <w:rFonts w:ascii="Cambria" w:hAnsi="Cambria" w:eastAsia="Cambria"/>
          <w:b/>
          <w:i w:val="0"/>
          <w:color w:val="1F4E79"/>
          <w:sz w:val="19"/>
        </w:rPr>
        <w:t xml:space="preserve">• </w:t>
      </w:r>
      <w:r>
        <w:rPr>
          <w:rFonts w:ascii="Cambria" w:hAnsi="Cambria" w:eastAsia="Cambria"/>
          <w:b w:val="0"/>
          <w:i w:val="0"/>
          <w:color w:val="000000"/>
          <w:sz w:val="19"/>
        </w:rPr>
        <w:t>Use consistent formulas and reporting periods so trends are comparable.</w:t>
      </w:r>
    </w:p>
    <w:p>
      <w:pPr>
        <w:spacing w:after="30"/>
        <w:ind w:left="283" w:hanging="170"/>
      </w:pPr>
      <w:r>
        <w:rPr>
          <w:rFonts w:ascii="Cambria" w:hAnsi="Cambria" w:eastAsia="Cambria"/>
          <w:b/>
          <w:i w:val="0"/>
          <w:color w:val="1F4E79"/>
          <w:sz w:val="19"/>
        </w:rPr>
        <w:t xml:space="preserve">• </w:t>
      </w:r>
      <w:r>
        <w:rPr>
          <w:rFonts w:ascii="Cambria" w:hAnsi="Cambria" w:eastAsia="Cambria"/>
          <w:b w:val="0"/>
          <w:i w:val="0"/>
          <w:color w:val="000000"/>
          <w:sz w:val="19"/>
        </w:rPr>
        <w:t>Keep evidence for material metrics where decisions or audit conclusions depend on the data.</w:t>
      </w:r>
    </w:p>
    <w:p>
      <w:pPr>
        <w:spacing w:after="30"/>
        <w:ind w:left="283" w:hanging="170"/>
      </w:pPr>
      <w:r>
        <w:rPr>
          <w:rFonts w:ascii="Cambria" w:hAnsi="Cambria" w:eastAsia="Cambria"/>
          <w:b/>
          <w:i w:val="0"/>
          <w:color w:val="1F4E79"/>
          <w:sz w:val="19"/>
        </w:rPr>
        <w:t xml:space="preserve">• </w:t>
      </w:r>
      <w:r>
        <w:rPr>
          <w:rFonts w:ascii="Cambria" w:hAnsi="Cambria" w:eastAsia="Cambria"/>
          <w:b w:val="0"/>
          <w:i w:val="0"/>
          <w:color w:val="000000"/>
          <w:sz w:val="19"/>
        </w:rPr>
        <w:t>Explain exclusions, data gaps and denominator changes.</w:t>
      </w:r>
    </w:p>
    <w:p>
      <w:pPr>
        <w:spacing w:after="30"/>
        <w:ind w:left="283" w:hanging="170"/>
      </w:pPr>
      <w:r>
        <w:rPr>
          <w:rFonts w:ascii="Cambria" w:hAnsi="Cambria" w:eastAsia="Cambria"/>
          <w:b/>
          <w:i w:val="0"/>
          <w:color w:val="1F4E79"/>
          <w:sz w:val="19"/>
        </w:rPr>
        <w:t xml:space="preserve">• </w:t>
      </w:r>
      <w:r>
        <w:rPr>
          <w:rFonts w:ascii="Cambria" w:hAnsi="Cambria" w:eastAsia="Cambria"/>
          <w:b w:val="0"/>
          <w:i w:val="0"/>
          <w:color w:val="000000"/>
          <w:sz w:val="19"/>
        </w:rPr>
        <w:t>Avoid combining unrelated populations into one metric when the result can hide material risk.</w:t>
      </w:r>
    </w:p>
    <w:p>
      <w:pPr>
        <w:keepNext/>
        <w:spacing w:before="140" w:after="60"/>
      </w:pPr>
      <w:r>
        <w:rPr>
          <w:rFonts w:ascii="Cambria" w:hAnsi="Cambria" w:eastAsia="Cambria"/>
          <w:b/>
          <w:i w:val="0"/>
          <w:color w:val="1F4E79"/>
          <w:sz w:val="24"/>
        </w:rPr>
        <w:t>10. Review and Management Action</w:t>
      </w:r>
    </w:p>
    <w:p>
      <w:pPr>
        <w:spacing w:after="60" w:line="250" w:lineRule="auto"/>
      </w:pPr>
      <w:r>
        <w:rPr>
          <w:rFonts w:ascii="Cambria" w:hAnsi="Cambria" w:eastAsia="Cambria"/>
          <w:b w:val="0"/>
          <w:i w:val="0"/>
          <w:color w:val="000000"/>
          <w:sz w:val="19"/>
        </w:rPr>
        <w:t>Indicators should be reviewed at a frequency appropriate to the risk. The objective is not to produce charts; it is to identify when management decisions, resources, corrective action, risk treatment or control changes are needed. Material trends and objective performance should feed management review.</w:t>
      </w:r>
    </w:p>
    <w:p>
      <w:pPr>
        <w:keepNext/>
        <w:spacing w:before="140" w:after="60"/>
      </w:pPr>
      <w:r>
        <w:rPr>
          <w:rFonts w:ascii="Cambria" w:hAnsi="Cambria" w:eastAsia="Cambria"/>
          <w:b/>
          <w:i w:val="0"/>
          <w:color w:val="1F4E79"/>
          <w:sz w:val="24"/>
        </w:rPr>
        <w:t>11. Common Pitfalls</w:t>
      </w:r>
    </w:p>
    <w:tbl>
      <w:tblPr>
        <w:tblW w:type="auto" w:w="0"/>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tblPr>
      <w:tblGrid>
        <w:gridCol w:w="4677"/>
        <w:gridCol w:w="4677"/>
      </w:tblGrid>
      <w:tr>
        <w:trPr>
          <w:cantSplit/>
          <w:tblHeader w:val="true"/>
        </w:trPr>
        <w:tc>
          <w:tcPr>
            <w:tcW w:type="dxa" w:w="3402"/>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6"/>
              </w:rPr>
              <w:t>Pitfall</w:t>
            </w:r>
          </w:p>
        </w:tc>
        <w:tc>
          <w:tcPr>
            <w:tcW w:type="dxa" w:w="5953"/>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6"/>
              </w:rPr>
              <w:t>Better Practice</w:t>
            </w:r>
          </w:p>
        </w:tc>
      </w:tr>
      <w:tr>
        <w:trPr>
          <w:cantSplit/>
        </w:trPr>
        <w:tc>
          <w:tcPr>
            <w:tcW w:type="dxa" w:w="3402"/>
            <w:tcMar>
              <w:top w:w="70" w:type="dxa"/>
              <w:left w:w="80" w:type="dxa"/>
              <w:bottom w:w="70" w:type="dxa"/>
              <w:right w:w="80" w:type="dxa"/>
            </w:tcMar>
            <w:vAlign w:val="top"/>
          </w:tcPr>
          <w:p>
            <w:pPr>
              <w:spacing w:after="0"/>
            </w:pPr>
            <w:r>
              <w:rPr>
                <w:rFonts w:ascii="Cambria" w:hAnsi="Cambria" w:eastAsia="Cambria"/>
                <w:b w:val="0"/>
                <w:i w:val="0"/>
                <w:color w:val="000000"/>
                <w:sz w:val="16"/>
              </w:rPr>
              <w:t>Policy is copied from a generic template.</w:t>
            </w:r>
          </w:p>
        </w:tc>
        <w:tc>
          <w:tcPr>
            <w:tcW w:type="dxa" w:w="5953"/>
            <w:tcMar>
              <w:top w:w="70" w:type="dxa"/>
              <w:left w:w="80" w:type="dxa"/>
              <w:bottom w:w="70" w:type="dxa"/>
              <w:right w:w="80" w:type="dxa"/>
            </w:tcMar>
            <w:vAlign w:val="top"/>
          </w:tcPr>
          <w:p>
            <w:pPr>
              <w:spacing w:after="0"/>
            </w:pPr>
            <w:r>
              <w:rPr>
                <w:rFonts w:ascii="Cambria" w:hAnsi="Cambria" w:eastAsia="Cambria"/>
                <w:b w:val="0"/>
                <w:i w:val="0"/>
                <w:color w:val="000000"/>
                <w:sz w:val="16"/>
              </w:rPr>
              <w:t>Adapt commitments and responsibilities to actual scope, risk and governance.</w:t>
            </w:r>
          </w:p>
        </w:tc>
      </w:tr>
      <w:tr>
        <w:trPr>
          <w:cantSplit/>
        </w:trPr>
        <w:tc>
          <w:tcPr>
            <w:tcW w:type="dxa" w:w="3402"/>
            <w:tcMar>
              <w:top w:w="70" w:type="dxa"/>
              <w:left w:w="80" w:type="dxa"/>
              <w:bottom w:w="70" w:type="dxa"/>
              <w:right w:w="80" w:type="dxa"/>
            </w:tcMar>
            <w:vAlign w:val="top"/>
          </w:tcPr>
          <w:p>
            <w:pPr>
              <w:spacing w:after="0"/>
            </w:pPr>
            <w:r>
              <w:rPr>
                <w:rFonts w:ascii="Cambria" w:hAnsi="Cambria" w:eastAsia="Cambria"/>
                <w:b w:val="0"/>
                <w:i w:val="0"/>
                <w:color w:val="000000"/>
                <w:sz w:val="16"/>
              </w:rPr>
              <w:t>Objectives are activities such as “implement MFA”.</w:t>
            </w:r>
          </w:p>
        </w:tc>
        <w:tc>
          <w:tcPr>
            <w:tcW w:type="dxa" w:w="5953"/>
            <w:tcMar>
              <w:top w:w="70" w:type="dxa"/>
              <w:left w:w="80" w:type="dxa"/>
              <w:bottom w:w="70" w:type="dxa"/>
              <w:right w:w="80" w:type="dxa"/>
            </w:tcMar>
            <w:vAlign w:val="top"/>
          </w:tcPr>
          <w:p>
            <w:pPr>
              <w:spacing w:after="0"/>
            </w:pPr>
            <w:r>
              <w:rPr>
                <w:rFonts w:ascii="Cambria" w:hAnsi="Cambria" w:eastAsia="Cambria"/>
                <w:b w:val="0"/>
                <w:i w:val="0"/>
                <w:color w:val="000000"/>
                <w:sz w:val="16"/>
              </w:rPr>
              <w:t>Express the intended security outcome and use implementation tasks as the action plan.</w:t>
            </w:r>
          </w:p>
        </w:tc>
      </w:tr>
      <w:tr>
        <w:trPr>
          <w:cantSplit/>
        </w:trPr>
        <w:tc>
          <w:tcPr>
            <w:tcW w:type="dxa" w:w="3402"/>
            <w:tcMar>
              <w:top w:w="70" w:type="dxa"/>
              <w:left w:w="80" w:type="dxa"/>
              <w:bottom w:w="70" w:type="dxa"/>
              <w:right w:w="80" w:type="dxa"/>
            </w:tcMar>
            <w:vAlign w:val="top"/>
          </w:tcPr>
          <w:p>
            <w:pPr>
              <w:spacing w:after="0"/>
            </w:pPr>
            <w:r>
              <w:rPr>
                <w:rFonts w:ascii="Cambria" w:hAnsi="Cambria" w:eastAsia="Cambria"/>
                <w:b w:val="0"/>
                <w:i w:val="0"/>
                <w:color w:val="000000"/>
                <w:sz w:val="16"/>
              </w:rPr>
              <w:t>Too many KPIs are reported.</w:t>
            </w:r>
          </w:p>
        </w:tc>
        <w:tc>
          <w:tcPr>
            <w:tcW w:type="dxa" w:w="5953"/>
            <w:tcMar>
              <w:top w:w="70" w:type="dxa"/>
              <w:left w:w="80" w:type="dxa"/>
              <w:bottom w:w="70" w:type="dxa"/>
              <w:right w:w="80" w:type="dxa"/>
            </w:tcMar>
            <w:vAlign w:val="top"/>
          </w:tcPr>
          <w:p>
            <w:pPr>
              <w:spacing w:after="0"/>
            </w:pPr>
            <w:r>
              <w:rPr>
                <w:rFonts w:ascii="Cambria" w:hAnsi="Cambria" w:eastAsia="Cambria"/>
                <w:b w:val="0"/>
                <w:i w:val="0"/>
                <w:color w:val="000000"/>
                <w:sz w:val="16"/>
              </w:rPr>
              <w:t>Use a focused set with clear owners and decision thresholds.</w:t>
            </w:r>
          </w:p>
        </w:tc>
      </w:tr>
      <w:tr>
        <w:trPr>
          <w:cantSplit/>
        </w:trPr>
        <w:tc>
          <w:tcPr>
            <w:tcW w:type="dxa" w:w="3402"/>
            <w:tcMar>
              <w:top w:w="70" w:type="dxa"/>
              <w:left w:w="80" w:type="dxa"/>
              <w:bottom w:w="70" w:type="dxa"/>
              <w:right w:w="80" w:type="dxa"/>
            </w:tcMar>
            <w:vAlign w:val="top"/>
          </w:tcPr>
          <w:p>
            <w:pPr>
              <w:spacing w:after="0"/>
            </w:pPr>
            <w:r>
              <w:rPr>
                <w:rFonts w:ascii="Cambria" w:hAnsi="Cambria" w:eastAsia="Cambria"/>
                <w:b w:val="0"/>
                <w:i w:val="0"/>
                <w:color w:val="000000"/>
                <w:sz w:val="16"/>
              </w:rPr>
              <w:t>Only positive metrics are shown.</w:t>
            </w:r>
          </w:p>
        </w:tc>
        <w:tc>
          <w:tcPr>
            <w:tcW w:type="dxa" w:w="5953"/>
            <w:tcMar>
              <w:top w:w="70" w:type="dxa"/>
              <w:left w:w="80" w:type="dxa"/>
              <w:bottom w:w="70" w:type="dxa"/>
              <w:right w:w="80" w:type="dxa"/>
            </w:tcMar>
            <w:vAlign w:val="top"/>
          </w:tcPr>
          <w:p>
            <w:pPr>
              <w:spacing w:after="0"/>
            </w:pPr>
            <w:r>
              <w:rPr>
                <w:rFonts w:ascii="Cambria" w:hAnsi="Cambria" w:eastAsia="Cambria"/>
                <w:b w:val="0"/>
                <w:i w:val="0"/>
                <w:color w:val="000000"/>
                <w:sz w:val="16"/>
              </w:rPr>
              <w:t>Include exposure, ageing, exceptions and recurrence where they help management see risk.</w:t>
            </w:r>
          </w:p>
        </w:tc>
      </w:tr>
      <w:tr>
        <w:trPr>
          <w:cantSplit/>
        </w:trPr>
        <w:tc>
          <w:tcPr>
            <w:tcW w:type="dxa" w:w="3402"/>
            <w:tcMar>
              <w:top w:w="70" w:type="dxa"/>
              <w:left w:w="80" w:type="dxa"/>
              <w:bottom w:w="70" w:type="dxa"/>
              <w:right w:w="80" w:type="dxa"/>
            </w:tcMar>
            <w:vAlign w:val="top"/>
          </w:tcPr>
          <w:p>
            <w:pPr>
              <w:spacing w:after="0"/>
            </w:pPr>
            <w:r>
              <w:rPr>
                <w:rFonts w:ascii="Cambria" w:hAnsi="Cambria" w:eastAsia="Cambria"/>
                <w:b w:val="0"/>
                <w:i w:val="0"/>
                <w:color w:val="000000"/>
                <w:sz w:val="16"/>
              </w:rPr>
              <w:t>Targets are changed when missed.</w:t>
            </w:r>
          </w:p>
        </w:tc>
        <w:tc>
          <w:tcPr>
            <w:tcW w:type="dxa" w:w="5953"/>
            <w:tcMar>
              <w:top w:w="70" w:type="dxa"/>
              <w:left w:w="80" w:type="dxa"/>
              <w:bottom w:w="70" w:type="dxa"/>
              <w:right w:w="80" w:type="dxa"/>
            </w:tcMar>
            <w:vAlign w:val="top"/>
          </w:tcPr>
          <w:p>
            <w:pPr>
              <w:spacing w:after="0"/>
            </w:pPr>
            <w:r>
              <w:rPr>
                <w:rFonts w:ascii="Cambria" w:hAnsi="Cambria" w:eastAsia="Cambria"/>
                <w:b w:val="0"/>
                <w:i w:val="0"/>
                <w:color w:val="000000"/>
                <w:sz w:val="16"/>
              </w:rPr>
              <w:t>Record the miss, understand the cause and change the target only when justified by a new decision/context.</w:t>
            </w:r>
          </w:p>
        </w:tc>
      </w:tr>
    </w:tbl>
    <w:p>
      <w:pPr>
        <w:spacing w:after="0"/>
      </w:pPr>
    </w:p>
    <w:p>
      <w:pPr>
        <w:keepNext/>
        <w:spacing w:before="140" w:after="60"/>
      </w:pPr>
      <w:r>
        <w:rPr>
          <w:rFonts w:ascii="Cambria" w:hAnsi="Cambria" w:eastAsia="Cambria"/>
          <w:b/>
          <w:i w:val="0"/>
          <w:color w:val="1F4E79"/>
          <w:sz w:val="24"/>
        </w:rPr>
        <w:t>12. Approval and Revision</w:t>
      </w:r>
    </w:p>
    <w:tbl>
      <w:tblPr>
        <w:tblW w:type="auto" w:w="0"/>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tblPr>
      <w:tblGrid>
        <w:gridCol w:w="2339"/>
        <w:gridCol w:w="2339"/>
        <w:gridCol w:w="2339"/>
        <w:gridCol w:w="2339"/>
      </w:tblGrid>
      <w:tr>
        <w:trPr>
          <w:cantSplit/>
          <w:tblHeader w:val="true"/>
        </w:trPr>
        <w:tc>
          <w:tcPr>
            <w:tcW w:type="dxa" w:w="2381"/>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7"/>
              </w:rPr>
              <w:t>Role</w:t>
            </w:r>
          </w:p>
        </w:tc>
        <w:tc>
          <w:tcPr>
            <w:tcW w:type="dxa" w:w="3118"/>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7"/>
              </w:rPr>
              <w:t>Name / Position</w:t>
            </w:r>
          </w:p>
        </w:tc>
        <w:tc>
          <w:tcPr>
            <w:tcW w:type="dxa" w:w="2268"/>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7"/>
              </w:rPr>
              <w:t>Approval / Signature</w:t>
            </w:r>
          </w:p>
        </w:tc>
        <w:tc>
          <w:tcPr>
            <w:tcW w:type="dxa" w:w="1587"/>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7"/>
              </w:rPr>
              <w:t>Date</w:t>
            </w:r>
          </w:p>
        </w:tc>
      </w:tr>
      <w:tr>
        <w:trPr>
          <w:cantSplit/>
        </w:trPr>
        <w:tc>
          <w:tcPr>
            <w:tcW w:type="dxa" w:w="2381"/>
            <w:tcMar>
              <w:top w:w="70" w:type="dxa"/>
              <w:left w:w="80" w:type="dxa"/>
              <w:bottom w:w="70" w:type="dxa"/>
              <w:right w:w="80" w:type="dxa"/>
            </w:tcMar>
            <w:vAlign w:val="top"/>
          </w:tcPr>
          <w:p>
            <w:pPr>
              <w:spacing w:after="0"/>
            </w:pPr>
            <w:r>
              <w:rPr>
                <w:rFonts w:ascii="Cambria" w:hAnsi="Cambria" w:eastAsia="Cambria"/>
                <w:b w:val="0"/>
                <w:i w:val="0"/>
                <w:color w:val="000000"/>
                <w:sz w:val="17"/>
              </w:rPr>
              <w:t>Prepared / Maintained by</w:t>
            </w:r>
          </w:p>
        </w:tc>
        <w:tc>
          <w:tcPr>
            <w:tcW w:type="dxa" w:w="3118"/>
            <w:tcMar>
              <w:top w:w="70" w:type="dxa"/>
              <w:left w:w="80" w:type="dxa"/>
              <w:bottom w:w="70" w:type="dxa"/>
              <w:right w:w="80" w:type="dxa"/>
            </w:tcMar>
            <w:vAlign w:val="top"/>
          </w:tcPr>
          <w:p>
            <w:pPr>
              <w:spacing w:after="0"/>
            </w:pPr>
            <w:r>
              <w:rPr>
                <w:rFonts w:ascii="Cambria" w:hAnsi="Cambria" w:eastAsia="Cambria"/>
                <w:b w:val="0"/>
                <w:i w:val="0"/>
                <w:color w:val="000000"/>
                <w:sz w:val="17"/>
              </w:rPr>
              <w:t>Information Security Manager</w:t>
            </w:r>
          </w:p>
        </w:tc>
        <w:tc>
          <w:tcPr>
            <w:tcW w:type="dxa" w:w="2268"/>
            <w:tcMar>
              <w:top w:w="70" w:type="dxa"/>
              <w:left w:w="80" w:type="dxa"/>
              <w:bottom w:w="70" w:type="dxa"/>
              <w:right w:w="80" w:type="dxa"/>
            </w:tcMar>
            <w:vAlign w:val="top"/>
          </w:tcPr>
          <w:p>
            <w:pPr>
              <w:spacing w:after="0"/>
            </w:pPr>
            <w:r>
              <w:rPr>
                <w:rFonts w:ascii="Cambria" w:hAnsi="Cambria" w:eastAsia="Cambria"/>
                <w:b w:val="0"/>
                <w:i w:val="0"/>
                <w:color w:val="000000"/>
                <w:sz w:val="17"/>
              </w:rPr>
            </w:r>
          </w:p>
        </w:tc>
        <w:tc>
          <w:tcPr>
            <w:tcW w:type="dxa" w:w="1587"/>
            <w:tcMar>
              <w:top w:w="70" w:type="dxa"/>
              <w:left w:w="80" w:type="dxa"/>
              <w:bottom w:w="70" w:type="dxa"/>
              <w:right w:w="80" w:type="dxa"/>
            </w:tcMar>
            <w:vAlign w:val="top"/>
          </w:tcPr>
          <w:p>
            <w:pPr>
              <w:spacing w:after="0"/>
            </w:pPr>
            <w:r>
              <w:rPr>
                <w:rFonts w:ascii="Cambria" w:hAnsi="Cambria" w:eastAsia="Cambria"/>
                <w:b w:val="0"/>
                <w:i w:val="0"/>
                <w:color w:val="000000"/>
                <w:sz w:val="17"/>
              </w:rPr>
            </w:r>
          </w:p>
        </w:tc>
      </w:tr>
      <w:tr>
        <w:trPr>
          <w:cantSplit/>
        </w:trPr>
        <w:tc>
          <w:tcPr>
            <w:tcW w:type="dxa" w:w="2381"/>
            <w:tcMar>
              <w:top w:w="70" w:type="dxa"/>
              <w:left w:w="80" w:type="dxa"/>
              <w:bottom w:w="70" w:type="dxa"/>
              <w:right w:w="80" w:type="dxa"/>
            </w:tcMar>
            <w:vAlign w:val="top"/>
          </w:tcPr>
          <w:p>
            <w:pPr>
              <w:spacing w:after="0"/>
            </w:pPr>
            <w:r>
              <w:rPr>
                <w:rFonts w:ascii="Cambria" w:hAnsi="Cambria" w:eastAsia="Cambria"/>
                <w:b w:val="0"/>
                <w:i w:val="0"/>
                <w:color w:val="000000"/>
                <w:sz w:val="17"/>
              </w:rPr>
              <w:t>Reviewed by</w:t>
            </w:r>
          </w:p>
        </w:tc>
        <w:tc>
          <w:tcPr>
            <w:tcW w:type="dxa" w:w="3118"/>
            <w:tcMar>
              <w:top w:w="70" w:type="dxa"/>
              <w:left w:w="80" w:type="dxa"/>
              <w:bottom w:w="70" w:type="dxa"/>
              <w:right w:w="80" w:type="dxa"/>
            </w:tcMar>
            <w:vAlign w:val="top"/>
          </w:tcPr>
          <w:p>
            <w:pPr>
              <w:spacing w:after="0"/>
            </w:pPr>
            <w:r>
              <w:rPr>
                <w:rFonts w:ascii="Cambria" w:hAnsi="Cambria" w:eastAsia="Cambria"/>
                <w:b w:val="0"/>
                <w:i w:val="0"/>
                <w:color w:val="000000"/>
                <w:sz w:val="17"/>
              </w:rPr>
              <w:t>[REVIEWER / FUNCTION]</w:t>
            </w:r>
          </w:p>
        </w:tc>
        <w:tc>
          <w:tcPr>
            <w:tcW w:type="dxa" w:w="2268"/>
            <w:tcMar>
              <w:top w:w="70" w:type="dxa"/>
              <w:left w:w="80" w:type="dxa"/>
              <w:bottom w:w="70" w:type="dxa"/>
              <w:right w:w="80" w:type="dxa"/>
            </w:tcMar>
            <w:vAlign w:val="top"/>
          </w:tcPr>
          <w:p>
            <w:pPr>
              <w:spacing w:after="0"/>
            </w:pPr>
            <w:r>
              <w:rPr>
                <w:rFonts w:ascii="Cambria" w:hAnsi="Cambria" w:eastAsia="Cambria"/>
                <w:b w:val="0"/>
                <w:i w:val="0"/>
                <w:color w:val="000000"/>
                <w:sz w:val="17"/>
              </w:rPr>
            </w:r>
          </w:p>
        </w:tc>
        <w:tc>
          <w:tcPr>
            <w:tcW w:type="dxa" w:w="1587"/>
            <w:tcMar>
              <w:top w:w="70" w:type="dxa"/>
              <w:left w:w="80" w:type="dxa"/>
              <w:bottom w:w="70" w:type="dxa"/>
              <w:right w:w="80" w:type="dxa"/>
            </w:tcMar>
            <w:vAlign w:val="top"/>
          </w:tcPr>
          <w:p>
            <w:pPr>
              <w:spacing w:after="0"/>
            </w:pPr>
            <w:r>
              <w:rPr>
                <w:rFonts w:ascii="Cambria" w:hAnsi="Cambria" w:eastAsia="Cambria"/>
                <w:b w:val="0"/>
                <w:i w:val="0"/>
                <w:color w:val="000000"/>
                <w:sz w:val="17"/>
              </w:rPr>
            </w:r>
          </w:p>
        </w:tc>
      </w:tr>
      <w:tr>
        <w:trPr>
          <w:cantSplit/>
        </w:trPr>
        <w:tc>
          <w:tcPr>
            <w:tcW w:type="dxa" w:w="2381"/>
            <w:tcMar>
              <w:top w:w="70" w:type="dxa"/>
              <w:left w:w="80" w:type="dxa"/>
              <w:bottom w:w="70" w:type="dxa"/>
              <w:right w:w="80" w:type="dxa"/>
            </w:tcMar>
            <w:vAlign w:val="top"/>
          </w:tcPr>
          <w:p>
            <w:pPr>
              <w:spacing w:after="0"/>
            </w:pPr>
            <w:r>
              <w:rPr>
                <w:rFonts w:ascii="Cambria" w:hAnsi="Cambria" w:eastAsia="Cambria"/>
                <w:b w:val="0"/>
                <w:i w:val="0"/>
                <w:color w:val="000000"/>
                <w:sz w:val="17"/>
              </w:rPr>
              <w:t>Approved by</w:t>
            </w:r>
          </w:p>
        </w:tc>
        <w:tc>
          <w:tcPr>
            <w:tcW w:type="dxa" w:w="3118"/>
            <w:tcMar>
              <w:top w:w="70" w:type="dxa"/>
              <w:left w:w="80" w:type="dxa"/>
              <w:bottom w:w="70" w:type="dxa"/>
              <w:right w:w="80" w:type="dxa"/>
            </w:tcMar>
            <w:vAlign w:val="top"/>
          </w:tcPr>
          <w:p>
            <w:pPr>
              <w:spacing w:after="0"/>
            </w:pPr>
            <w:r>
              <w:rPr>
                <w:rFonts w:ascii="Cambria" w:hAnsi="Cambria" w:eastAsia="Cambria"/>
                <w:b w:val="0"/>
                <w:i w:val="0"/>
                <w:color w:val="000000"/>
                <w:sz w:val="17"/>
              </w:rPr>
              <w:t>Top Management</w:t>
            </w:r>
          </w:p>
        </w:tc>
        <w:tc>
          <w:tcPr>
            <w:tcW w:type="dxa" w:w="2268"/>
            <w:tcMar>
              <w:top w:w="70" w:type="dxa"/>
              <w:left w:w="80" w:type="dxa"/>
              <w:bottom w:w="70" w:type="dxa"/>
              <w:right w:w="80" w:type="dxa"/>
            </w:tcMar>
            <w:vAlign w:val="top"/>
          </w:tcPr>
          <w:p>
            <w:pPr>
              <w:spacing w:after="0"/>
            </w:pPr>
            <w:r>
              <w:rPr>
                <w:rFonts w:ascii="Cambria" w:hAnsi="Cambria" w:eastAsia="Cambria"/>
                <w:b w:val="0"/>
                <w:i w:val="0"/>
                <w:color w:val="000000"/>
                <w:sz w:val="17"/>
              </w:rPr>
            </w:r>
          </w:p>
        </w:tc>
        <w:tc>
          <w:tcPr>
            <w:tcW w:type="dxa" w:w="1587"/>
            <w:tcMar>
              <w:top w:w="70" w:type="dxa"/>
              <w:left w:w="80" w:type="dxa"/>
              <w:bottom w:w="70" w:type="dxa"/>
              <w:right w:w="80" w:type="dxa"/>
            </w:tcMar>
            <w:vAlign w:val="top"/>
          </w:tcPr>
          <w:p>
            <w:pPr>
              <w:spacing w:after="0"/>
            </w:pPr>
            <w:r>
              <w:rPr>
                <w:rFonts w:ascii="Cambria" w:hAnsi="Cambria" w:eastAsia="Cambria"/>
                <w:b w:val="0"/>
                <w:i w:val="0"/>
                <w:color w:val="000000"/>
                <w:sz w:val="17"/>
              </w:rPr>
            </w:r>
          </w:p>
        </w:tc>
      </w:tr>
    </w:tbl>
    <w:p>
      <w:pPr>
        <w:spacing w:after="0"/>
      </w:pPr>
    </w:p>
    <w:p>
      <w:pPr>
        <w:keepNext/>
        <w:spacing w:before="80" w:after="60"/>
      </w:pPr>
      <w:r>
        <w:rPr>
          <w:rFonts w:ascii="Cambria" w:hAnsi="Cambria" w:eastAsia="Cambria"/>
          <w:b/>
          <w:i w:val="0"/>
          <w:color w:val="000000"/>
          <w:sz w:val="21"/>
        </w:rPr>
        <w:t>Revision History</w:t>
      </w:r>
    </w:p>
    <w:tbl>
      <w:tblPr>
        <w:tblW w:type="auto" w:w="0"/>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tblPr>
      <w:tblGrid>
        <w:gridCol w:w="3118"/>
        <w:gridCol w:w="3118"/>
        <w:gridCol w:w="3118"/>
      </w:tblGrid>
      <w:tr>
        <w:trPr>
          <w:cantSplit/>
          <w:tblHeader w:val="true"/>
        </w:trPr>
        <w:tc>
          <w:tcPr>
            <w:tcW w:type="dxa" w:w="1587"/>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7"/>
              </w:rPr>
              <w:t>Version</w:t>
            </w:r>
          </w:p>
        </w:tc>
        <w:tc>
          <w:tcPr>
            <w:tcW w:type="dxa" w:w="2154"/>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7"/>
              </w:rPr>
              <w:t>Date</w:t>
            </w:r>
          </w:p>
        </w:tc>
        <w:tc>
          <w:tcPr>
            <w:tcW w:type="dxa" w:w="5613"/>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7"/>
              </w:rPr>
              <w:t>Description</w:t>
            </w:r>
          </w:p>
        </w:tc>
      </w:tr>
      <w:tr>
        <w:trPr>
          <w:cantSplit/>
        </w:trPr>
        <w:tc>
          <w:tcPr>
            <w:tcW w:type="dxa" w:w="1587"/>
            <w:tcMar>
              <w:top w:w="70" w:type="dxa"/>
              <w:left w:w="80" w:type="dxa"/>
              <w:bottom w:w="70" w:type="dxa"/>
              <w:right w:w="80" w:type="dxa"/>
            </w:tcMar>
            <w:vAlign w:val="top"/>
          </w:tcPr>
          <w:p>
            <w:pPr>
              <w:spacing w:after="0"/>
            </w:pPr>
            <w:r>
              <w:rPr>
                <w:rFonts w:ascii="Cambria" w:hAnsi="Cambria" w:eastAsia="Cambria"/>
                <w:b w:val="0"/>
                <w:i w:val="0"/>
                <w:color w:val="000000"/>
                <w:sz w:val="17"/>
              </w:rPr>
              <w:t>1.0</w:t>
            </w:r>
          </w:p>
        </w:tc>
        <w:tc>
          <w:tcPr>
            <w:tcW w:type="dxa" w:w="2154"/>
            <w:tcMar>
              <w:top w:w="70" w:type="dxa"/>
              <w:left w:w="80" w:type="dxa"/>
              <w:bottom w:w="70" w:type="dxa"/>
              <w:right w:w="80" w:type="dxa"/>
            </w:tcMar>
            <w:vAlign w:val="top"/>
          </w:tcPr>
          <w:p>
            <w:pPr>
              <w:spacing w:after="0"/>
            </w:pPr>
            <w:r>
              <w:rPr>
                <w:rFonts w:ascii="Cambria" w:hAnsi="Cambria" w:eastAsia="Cambria"/>
                <w:b w:val="0"/>
                <w:i w:val="0"/>
                <w:color w:val="000000"/>
                <w:sz w:val="17"/>
              </w:rPr>
              <w:t>2026-09-18</w:t>
            </w:r>
          </w:p>
        </w:tc>
        <w:tc>
          <w:tcPr>
            <w:tcW w:type="dxa" w:w="5613"/>
            <w:tcMar>
              <w:top w:w="70" w:type="dxa"/>
              <w:left w:w="80" w:type="dxa"/>
              <w:bottom w:w="70" w:type="dxa"/>
              <w:right w:w="80" w:type="dxa"/>
            </w:tcMar>
            <w:vAlign w:val="top"/>
          </w:tcPr>
          <w:p>
            <w:pPr>
              <w:spacing w:after="0"/>
            </w:pPr>
            <w:r>
              <w:rPr>
                <w:rFonts w:ascii="Cambria" w:hAnsi="Cambria" w:eastAsia="Cambria"/>
                <w:b w:val="0"/>
                <w:i w:val="0"/>
                <w:color w:val="000000"/>
                <w:sz w:val="17"/>
              </w:rPr>
              <w:t>Initial issue</w:t>
            </w:r>
          </w:p>
        </w:tc>
      </w:tr>
    </w:tbl>
    <w:p>
      <w:pPr>
        <w:spacing w:after="0"/>
      </w:pPr>
    </w:p>
    <w:sectPr w:rsidR="00FC693F" w:rsidRPr="0006063C" w:rsidSect="00034616">
      <w:headerReference w:type="default" r:id="rId9"/>
      <w:footerReference w:type="default" r:id="rId10"/>
      <w:pgSz w:w="11906" w:h="16838"/>
      <w:pgMar w:top="1020" w:right="1134" w:bottom="1020" w:left="1417" w:header="397" w:footer="397" w:gutter="0"/>
      <w:cols w:space="720"/>
      <w:docGrid w:linePitch="360"/>
    </w:sectPr>
  </w:body>
</w:document>
</file>

<file path=word/fontTable.xml><?xml version="1.0" encoding="utf-8"?>
<w:fonts xmlns:w="http://schemas.openxmlformats.org/wordprocessingml/2006/main">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http://schemas.openxmlformats.org/wordprocessingml/2006/main">
  <w:p>
    <w:pPr>
      <w:pStyle w:val="Footer"/>
      <w:spacing w:after="0"/>
      <w:jc w:val="center"/>
    </w:pPr>
    <w:r>
      <w:rPr>
        <w:rFonts w:ascii="Cambria" w:hAnsi="Cambria" w:eastAsia="Cambria"/>
        <w:b w:val="0"/>
        <w:i w:val="0"/>
        <w:color w:val="666666"/>
        <w:sz w:val="16"/>
      </w:rPr>
      <w:t>Copyright © ISO Toolkits | www.iso-toolkits.org | info@iso-toolkits.org</w:t>
    </w:r>
  </w:p>
  <w:p>
    <w:pPr>
      <w:spacing w:after="0"/>
      <w:jc w:val="center"/>
    </w:pPr>
    <w:r>
      <w:rPr>
        <w:rFonts w:ascii="Cambria" w:hAnsi="Cambria" w:eastAsia="Cambria"/>
        <w:b w:val="0"/>
        <w:i w:val="0"/>
        <w:color w:val="666666"/>
        <w:sz w:val="16"/>
      </w:rPr>
      <w:t xml:space="preserve">CONTROLLED DOCUMENT | INTERNAL | Page </w:t>
    </w:r>
    <w:r>
      <w:fldChar w:fldCharType="begin"/>
    </w:r>
    <w:r>
      <w:instrText xml:space="preserve"> PAGE </w:instrText>
    </w:r>
    <w:r>
      <w:fldChar w:fldCharType="separate"/>
    </w:r>
    <w:r>
      <w:rPr>
        <w:rFonts w:ascii="Cambria" w:hAnsi="Cambria" w:eastAsia="Cambria"/>
        <w:b w:val="0"/>
        <w:i w:val="0"/>
        <w:color w:val="666666"/>
        <w:sz w:val="16"/>
      </w:rPr>
      <w:t>1</w:t>
    </w:r>
    <w:r>
      <w:fldChar w:fldCharType="end"/>
    </w:r>
    <w:r>
      <w:rPr>
        <w:rFonts w:ascii="Cambria" w:hAnsi="Cambria" w:eastAsia="Cambria"/>
        <w:b w:val="0"/>
        <w:i w:val="0"/>
        <w:color w:val="666666"/>
        <w:sz w:val="16"/>
      </w:rPr>
      <w:t xml:space="preserve"> of </w:t>
    </w:r>
    <w:r>
      <w:fldChar w:fldCharType="begin"/>
    </w:r>
    <w:r>
      <w:instrText xml:space="preserve"> NUMPAGES </w:instrText>
    </w:r>
    <w:r>
      <w:fldChar w:fldCharType="separate"/>
    </w:r>
    <w:r>
      <w:rPr>
        <w:rFonts w:ascii="Cambria" w:hAnsi="Cambria" w:eastAsia="Cambria"/>
        <w:b w:val="0"/>
        <w:i w:val="0"/>
        <w:color w:val="666666"/>
        <w:sz w:val="16"/>
      </w:rPr>
      <w:t>1</w:t>
    </w:r>
    <w:r>
      <w:fldChar w:fldCharType="end"/>
    </w:r>
  </w:p>
</w:ftr>
</file>

<file path=word/header1.xml><?xml version="1.0" encoding="utf-8"?>
<w:hdr xmlns:w="http://schemas.openxmlformats.org/wordprocessingml/2006/main">
  <w:p>
    <w:pPr>
      <w:pStyle w:val="Header"/>
      <w:spacing w:after="0"/>
    </w:pPr>
  </w:p>
  <w:tbl>
    <w:tblPr>
      <w:tblW w:type="auto" w:w="0"/>
      <w:jc w:val="center"/>
      <w:tblBorders>
        <w:top w:val="single" w:sz="4" w:space="0" w:color="D0D7DE"/>
        <w:left w:val="single" w:sz="4" w:space="0" w:color="D0D7DE"/>
        <w:bottom w:val="single" w:sz="4" w:space="0" w:color="D0D7DE"/>
        <w:right w:val="single" w:sz="4" w:space="0" w:color="D0D7DE"/>
        <w:insideH w:val="single" w:sz="4" w:space="0" w:color="D0D7DE"/>
        <w:insideV w:val="single" w:sz="4" w:space="0" w:color="D0D7DE"/>
      </w:tblBorders>
      <w:tblLayout w:type="fixed"/>
      <w:tblLook w:val="04A0"/>
    </w:tblPr>
    <w:tblGrid>
      <w:gridCol w:w="3118"/>
      <w:gridCol w:w="3118"/>
      <w:gridCol w:w="3118"/>
    </w:tblGrid>
    <w:tr>
      <w:tc>
        <w:tcPr>
          <w:tcW w:type="dxa" w:w="2041"/>
          <w:tcMar>
            <w:top w:w="45" w:type="dxa"/>
            <w:left w:w="65" w:type="dxa"/>
            <w:bottom w:w="45" w:type="dxa"/>
            <w:right w:w="65" w:type="dxa"/>
          </w:tcMar>
          <w:vAlign w:val="center"/>
        </w:tcPr>
        <w:p>
          <w:pPr>
            <w:jc w:val="center"/>
          </w:pPr>
          <w:r>
            <w:rPr>
              <w:rFonts w:ascii="Cambria" w:hAnsi="Cambria" w:eastAsia="Cambria"/>
              <w:b/>
              <w:i w:val="0"/>
              <w:color w:val="1F4E79"/>
              <w:sz w:val="16"/>
            </w:rPr>
            <w:t>ORGANIZATION</w:t>
            <w:br/>
            <w:t>LOGO</w:t>
          </w:r>
        </w:p>
      </w:tc>
      <w:tc>
        <w:tcPr>
          <w:tcW w:type="dxa" w:w="4932"/>
          <w:tcMar>
            <w:top w:w="45" w:type="dxa"/>
            <w:left w:w="65" w:type="dxa"/>
            <w:bottom w:w="45" w:type="dxa"/>
            <w:right w:w="65" w:type="dxa"/>
          </w:tcMar>
          <w:vAlign w:val="center"/>
        </w:tcPr>
        <w:p>
          <w:pPr>
            <w:jc w:val="center"/>
          </w:pPr>
          <w:r>
            <w:rPr>
              <w:rFonts w:ascii="Cambria" w:hAnsi="Cambria" w:eastAsia="Cambria"/>
              <w:b/>
              <w:i w:val="0"/>
              <w:color w:val="1F4E79"/>
              <w:sz w:val="16"/>
            </w:rPr>
            <w:t>ORGANIZATION NAME</w:t>
            <w:br/>
          </w:r>
          <w:r>
            <w:rPr>
              <w:rFonts w:ascii="Cambria" w:hAnsi="Cambria" w:eastAsia="Cambria"/>
              <w:b/>
              <w:i w:val="0"/>
              <w:color w:val="000000"/>
              <w:sz w:val="19"/>
            </w:rPr>
            <w:t>Information Security Policy, Objectives &amp; Indicators Guidance</w:t>
          </w:r>
        </w:p>
      </w:tc>
      <w:tc>
        <w:tcPr>
          <w:tcW w:type="dxa" w:w="2381"/>
          <w:tcMar>
            <w:top w:w="45" w:type="dxa"/>
            <w:left w:w="65" w:type="dxa"/>
            <w:bottom w:w="45" w:type="dxa"/>
            <w:right w:w="65" w:type="dxa"/>
          </w:tcMar>
          <w:vAlign w:val="center"/>
        </w:tcPr>
        <w:p>
          <w:pPr>
            <w:jc w:val="center"/>
          </w:pPr>
          <w:r>
            <w:rPr>
              <w:rFonts w:ascii="Cambria" w:hAnsi="Cambria" w:eastAsia="Cambria"/>
              <w:b w:val="0"/>
              <w:i w:val="0"/>
              <w:color w:val="000000"/>
              <w:sz w:val="15"/>
            </w:rPr>
            <w:t>ISMS-GOV-002</w:t>
            <w:br/>
            <w:t>Version 1.0</w:t>
            <w:br/>
            <w:t>Effective 2026-09-18</w:t>
          </w:r>
        </w:p>
      </w:tc>
    </w:tr>
  </w:tbl>
</w:hdr>
</file>

<file path=word/numbering.xml><?xml version="1.0" encoding="utf-8"?>
<w:numbering xmlns:w="http://schemas.openxmlformats.org/wordprocessingml/2006/main">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o="urn:schemas-microsoft-com:office:office" xmlns:m="http://schemas.openxmlformats.org/officeDocument/2006/math" xmlns:v="urn:schemas-microsoft-com:vml" xmlns:w="http://schemas.openxmlformats.org/wordprocessingml/2006/main">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mbria" w:hAnsi="Cambria"/>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Security Policy, Objectives &amp; Indicators Guidance</dc:title>
  <dc:subject>Practical guidance for information security policy, objectives, indicators, targets and review.</dc:subject>
  <dc:creator>ISO Toolkits</dc:creator>
  <cp:keywords>ISO/IEC 27001:2022, Amendment 1:2024, ISMS, information security</cp:keywords>
  <dc:description>Built using Word 2007-compatible OOXML rules.</dc:description>
  <cp:lastModifiedBy/>
  <cp:revision>1</cp:revision>
  <dcterms:created xsi:type="dcterms:W3CDTF">2013-12-23T23:15:00Z</dcterms:created>
  <dcterms:modified xsi:type="dcterms:W3CDTF">2013-12-23T23:15:00Z</dcterms:modified>
  <cp:category/>
</cp:coreProperties>
</file>