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INFORMATION SECURITY MANAGEMENT SYSTEM GUIDANCE</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 and Use</w:t>
      </w:r>
    </w:p>
    <w:p>
      <w:pPr>
        <w:spacing w:after="60" w:line="250" w:lineRule="auto"/>
      </w:pPr>
      <w:r>
        <w:rPr>
          <w:rFonts w:ascii="Cambria" w:hAnsi="Cambria" w:eastAsia="Cambria"/>
          <w:b w:val="0"/>
          <w:i w:val="0"/>
          <w:color w:val="000000"/>
          <w:sz w:val="19"/>
        </w:rPr>
        <w:t>Use this guidance as a practical roadmap for establishing, operating, maintaining and improving an Information Security Management System (ISMS). It explains how the main management-system components fit together and what usable evidence typically looks like. It is not a clause-by-clause reproduction of ISO/IEC 27001.</w:t>
      </w:r>
    </w:p>
    <w:p>
      <w:pPr>
        <w:keepNext/>
        <w:spacing w:before="140" w:after="60"/>
      </w:pPr>
      <w:r>
        <w:rPr>
          <w:rFonts w:ascii="Cambria" w:hAnsi="Cambria" w:eastAsia="Cambria"/>
          <w:b/>
          <w:i w:val="0"/>
          <w:color w:val="1F4E79"/>
          <w:sz w:val="24"/>
        </w:rPr>
        <w:t>2. Build the ISMS Around Business and Information Risk</w:t>
      </w:r>
    </w:p>
    <w:p>
      <w:pPr>
        <w:spacing w:after="60" w:line="250" w:lineRule="auto"/>
      </w:pPr>
      <w:r>
        <w:rPr>
          <w:rFonts w:ascii="Cambria" w:hAnsi="Cambria" w:eastAsia="Cambria"/>
          <w:b w:val="0"/>
          <w:i w:val="0"/>
          <w:color w:val="000000"/>
          <w:sz w:val="19"/>
        </w:rPr>
        <w:t>Start with the organization’s business services, information, technology, legal/contractual obligations and risk—not with a library of policies. The ISMS should help management make consistent information security decisions, operate necessary controls and demonstrate that risk is managed over time.</w:t>
      </w:r>
    </w:p>
    <w:p>
      <w:pPr>
        <w:keepNext/>
        <w:spacing w:before="140" w:after="60"/>
      </w:pPr>
      <w:r>
        <w:rPr>
          <w:rFonts w:ascii="Cambria" w:hAnsi="Cambria" w:eastAsia="Cambria"/>
          <w:b/>
          <w:i w:val="0"/>
          <w:color w:val="1F4E79"/>
          <w:sz w:val="24"/>
        </w:rPr>
        <w:t>3. ISMS Foundation - Recommended Sequence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87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Stage</w:t>
            </w:r>
          </w:p>
        </w:tc>
        <w:tc>
          <w:tcPr>
            <w:tcW w:type="dxa" w:w="470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Practical Activities</w:t>
            </w:r>
          </w:p>
        </w:tc>
        <w:tc>
          <w:tcPr>
            <w:tcW w:type="dxa" w:w="277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Key Outputs</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1. Governance</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Appoint sponsor/ISMS manager, establish project/governance route and define implementation objectives.</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Roles, project plan, reporting cadence</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2. Context and scope</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Identify issues, interested parties, obligations, boundaries, interfaces and dependencies.</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Context, interested parties, ISMS scope</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3. Gap baseline</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Assess current arrangements and prioritize gaps.</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Gap analysis and action plan</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4. Risk framework</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Define risk criteria/method, identify assets/information and assess risks.</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Risk method and risk register</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5. Treatment / controls</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Select treatments, determine Annex A applicability and plan implementation.</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SoA and risk treatment plan</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6. Operate controls</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Implement organizational, people, physical and technological controls and collect evidence.</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Operating control evidence</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7. Evaluate</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Monitor objectives/controls, audit and conduct management review.</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KPIs, audit report, review decisions</w:t>
            </w:r>
          </w:p>
        </w:tc>
      </w:tr>
      <w:tr>
        <w:trPr>
          <w:cantSplit/>
        </w:trPr>
        <w:tc>
          <w:tcPr>
            <w:tcW w:type="dxa" w:w="1871"/>
            <w:tcMar>
              <w:top w:w="70" w:type="dxa"/>
              <w:left w:w="80" w:type="dxa"/>
              <w:bottom w:w="70" w:type="dxa"/>
              <w:right w:w="80" w:type="dxa"/>
            </w:tcMar>
            <w:vAlign w:val="top"/>
          </w:tcPr>
          <w:p>
            <w:pPr>
              <w:spacing w:after="0"/>
            </w:pPr>
            <w:r>
              <w:rPr>
                <w:rFonts w:ascii="Cambria" w:hAnsi="Cambria" w:eastAsia="Cambria"/>
                <w:b w:val="0"/>
                <w:i w:val="0"/>
                <w:color w:val="000000"/>
                <w:sz w:val="15"/>
              </w:rPr>
              <w:t>8. Improve</w:t>
            </w:r>
          </w:p>
        </w:tc>
        <w:tc>
          <w:tcPr>
            <w:tcW w:type="dxa" w:w="4706"/>
            <w:tcMar>
              <w:top w:w="70" w:type="dxa"/>
              <w:left w:w="80" w:type="dxa"/>
              <w:bottom w:w="70" w:type="dxa"/>
              <w:right w:w="80" w:type="dxa"/>
            </w:tcMar>
            <w:vAlign w:val="top"/>
          </w:tcPr>
          <w:p>
            <w:pPr>
              <w:spacing w:after="0"/>
            </w:pPr>
            <w:r>
              <w:rPr>
                <w:rFonts w:ascii="Cambria" w:hAnsi="Cambria" w:eastAsia="Cambria"/>
                <w:b w:val="0"/>
                <w:i w:val="0"/>
                <w:color w:val="000000"/>
                <w:sz w:val="15"/>
              </w:rPr>
              <w:t>Correct causes, close gaps and improve the ISMS based on evidence.</w:t>
            </w:r>
          </w:p>
        </w:tc>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5"/>
              </w:rPr>
              <w:t>Corrective actions and improvements</w:t>
            </w:r>
          </w:p>
        </w:tc>
      </w:tr>
    </w:tbl>
    <w:p>
      <w:pPr>
        <w:spacing w:after="0"/>
      </w:pPr>
    </w:p>
    <w:p>
      <w:pPr>
        <w:keepNext/>
        <w:spacing w:before="140" w:after="60"/>
      </w:pPr>
      <w:r>
        <w:rPr>
          <w:rFonts w:ascii="Cambria" w:hAnsi="Cambria" w:eastAsia="Cambria"/>
          <w:b/>
          <w:i w:val="0"/>
          <w:color w:val="1F4E79"/>
          <w:sz w:val="24"/>
        </w:rPr>
        <w:t>4. Context, Interested Parties and Scope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Area</w:t>
            </w:r>
          </w:p>
        </w:tc>
        <w:tc>
          <w:tcPr>
            <w:tcW w:type="dxa" w:w="697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Guidance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Context</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Identify business, technology, threat, regulatory, supplier, workforce, resilience and other issues that can affect ISMS outcomes. Consider climate-related issues where relevant to the organization’s ISMS context.</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Interested parties</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Identify relevant customers, regulators, employees, suppliers, owners and others together with applicable security needs/expectations.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Scope</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Define business units, sites, services, information, technology and interfaces included. Make exclusions/boundaries understandable and defensible.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Interfaces</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Document important dependencies outside the scope where they affect risk, control operation or service continuity.</w:t>
            </w:r>
          </w:p>
        </w:tc>
      </w:tr>
    </w:tbl>
    <w:p>
      <w:pPr>
        <w:spacing w:after="0"/>
      </w:pPr>
    </w:p>
    <w:p>
      <w:pPr>
        <w:keepNext/>
        <w:spacing w:before="140" w:after="60"/>
      </w:pPr>
      <w:r>
        <w:rPr>
          <w:rFonts w:ascii="Cambria" w:hAnsi="Cambria" w:eastAsia="Cambria"/>
          <w:b/>
          <w:i w:val="0"/>
          <w:color w:val="1F4E79"/>
          <w:sz w:val="24"/>
        </w:rPr>
        <w:t>5. Governance and Leadership</w:t>
      </w:r>
    </w:p>
    <w:p>
      <w:pPr>
        <w:spacing w:after="60" w:line="250" w:lineRule="auto"/>
      </w:pPr>
      <w:r>
        <w:rPr>
          <w:rFonts w:ascii="Cambria" w:hAnsi="Cambria" w:eastAsia="Cambria"/>
          <w:b w:val="0"/>
          <w:i w:val="0"/>
          <w:color w:val="000000"/>
          <w:sz w:val="19"/>
        </w:rPr>
        <w:t>Top management should set direction, integrate information security into relevant business decisions, assign authority and provide resources. The ISMS manager coordinates the system but does not “own” every security risk or control. Risk and control ownership should sit with roles that can make or influence the relevant business decisions.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2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Governance Element</w:t>
            </w:r>
          </w:p>
        </w:tc>
        <w:tc>
          <w:tcPr>
            <w:tcW w:type="dxa" w:w="663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Evidence</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Policy and direction</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Approved Information Security Policy and management communications.</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Roles / authorities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Named ISMS, risk and control/process owners with escalation routes.</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Objectives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Measurable objectives with owners, actions, targets and review.</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Management oversight</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Current reporting, decisions, action tracking and management-review records.</w:t>
            </w:r>
          </w:p>
        </w:tc>
      </w:tr>
    </w:tbl>
    <w:p>
      <w:pPr>
        <w:spacing w:after="0"/>
      </w:pPr>
    </w:p>
    <w:p>
      <w:pPr>
        <w:keepNext/>
        <w:spacing w:before="140" w:after="60"/>
      </w:pPr>
      <w:r>
        <w:rPr>
          <w:rFonts w:ascii="Cambria" w:hAnsi="Cambria" w:eastAsia="Cambria"/>
          <w:b/>
          <w:i w:val="0"/>
          <w:color w:val="1F4E79"/>
          <w:sz w:val="24"/>
        </w:rPr>
        <w:t>6. Information Security Risk Management</w:t>
      </w:r>
    </w:p>
    <w:p>
      <w:pPr>
        <w:spacing w:after="60" w:line="250" w:lineRule="auto"/>
      </w:pPr>
      <w:r>
        <w:rPr>
          <w:rFonts w:ascii="Cambria" w:hAnsi="Cambria" w:eastAsia="Cambria"/>
          <w:b w:val="0"/>
          <w:i w:val="0"/>
          <w:color w:val="000000"/>
          <w:sz w:val="19"/>
        </w:rPr>
        <w:t>Use one consistent risk method that management understands. The method should produce repeatable risk decisions rather than artificial mathematical precision. Define what constitutes unacceptable risk, who can accept residual risk and when reassessment is required.</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41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Risk Step</w:t>
            </w:r>
          </w:p>
        </w:tc>
        <w:tc>
          <w:tcPr>
            <w:tcW w:type="dxa" w:w="4422"/>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Key Question</w:t>
            </w:r>
          </w:p>
        </w:tc>
        <w:tc>
          <w:tcPr>
            <w:tcW w:type="dxa" w:w="351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Evidence</w:t>
            </w:r>
          </w:p>
        </w:tc>
      </w:tr>
      <w:tr>
        <w:trPr>
          <w:cantSplit/>
        </w:trPr>
        <w:tc>
          <w:tcPr>
            <w:tcW w:type="dxa" w:w="1417"/>
            <w:tcMar>
              <w:top w:w="70" w:type="dxa"/>
              <w:left w:w="80" w:type="dxa"/>
              <w:bottom w:w="70" w:type="dxa"/>
              <w:right w:w="80" w:type="dxa"/>
            </w:tcMar>
            <w:vAlign w:val="top"/>
          </w:tcPr>
          <w:p>
            <w:pPr>
              <w:spacing w:after="0"/>
            </w:pPr>
            <w:r>
              <w:rPr>
                <w:rFonts w:ascii="Cambria" w:hAnsi="Cambria" w:eastAsia="Cambria"/>
                <w:b w:val="0"/>
                <w:i w:val="0"/>
                <w:color w:val="000000"/>
                <w:sz w:val="15"/>
              </w:rPr>
              <w:t>Identify</w:t>
            </w:r>
          </w:p>
        </w:tc>
        <w:tc>
          <w:tcPr>
            <w:tcW w:type="dxa" w:w="4422"/>
            <w:tcMar>
              <w:top w:w="70" w:type="dxa"/>
              <w:left w:w="80" w:type="dxa"/>
              <w:bottom w:w="70" w:type="dxa"/>
              <w:right w:w="80" w:type="dxa"/>
            </w:tcMar>
            <w:vAlign w:val="top"/>
          </w:tcPr>
          <w:p>
            <w:pPr>
              <w:spacing w:after="0"/>
            </w:pPr>
            <w:r>
              <w:rPr>
                <w:rFonts w:ascii="Cambria" w:hAnsi="Cambria" w:eastAsia="Cambria"/>
                <w:b w:val="0"/>
                <w:i w:val="0"/>
                <w:color w:val="000000"/>
                <w:sz w:val="15"/>
              </w:rPr>
              <w:t>What can affect confidentiality, integrity, availability or other relevant security outcomes?</w:t>
            </w:r>
          </w:p>
        </w:tc>
        <w:tc>
          <w:tcPr>
            <w:tcW w:type="dxa" w:w="3515"/>
            <w:tcMar>
              <w:top w:w="70" w:type="dxa"/>
              <w:left w:w="80" w:type="dxa"/>
              <w:bottom w:w="70" w:type="dxa"/>
              <w:right w:w="80" w:type="dxa"/>
            </w:tcMar>
            <w:vAlign w:val="top"/>
          </w:tcPr>
          <w:p>
            <w:pPr>
              <w:spacing w:after="0"/>
            </w:pPr>
            <w:r>
              <w:rPr>
                <w:rFonts w:ascii="Cambria" w:hAnsi="Cambria" w:eastAsia="Cambria"/>
                <w:b w:val="0"/>
                <w:i w:val="0"/>
                <w:color w:val="000000"/>
                <w:sz w:val="15"/>
              </w:rPr>
              <w:t>Risk scenario / asset/service / threat-vulnerability context</w:t>
            </w:r>
          </w:p>
        </w:tc>
      </w:tr>
      <w:tr>
        <w:trPr>
          <w:cantSplit/>
        </w:trPr>
        <w:tc>
          <w:tcPr>
            <w:tcW w:type="dxa" w:w="1417"/>
            <w:tcMar>
              <w:top w:w="70" w:type="dxa"/>
              <w:left w:w="80" w:type="dxa"/>
              <w:bottom w:w="70" w:type="dxa"/>
              <w:right w:w="80" w:type="dxa"/>
            </w:tcMar>
            <w:vAlign w:val="top"/>
          </w:tcPr>
          <w:p>
            <w:pPr>
              <w:spacing w:after="0"/>
            </w:pPr>
            <w:r>
              <w:rPr>
                <w:rFonts w:ascii="Cambria" w:hAnsi="Cambria" w:eastAsia="Cambria"/>
                <w:b w:val="0"/>
                <w:i w:val="0"/>
                <w:color w:val="000000"/>
                <w:sz w:val="15"/>
              </w:rPr>
              <w:t>Analyze</w:t>
            </w:r>
          </w:p>
        </w:tc>
        <w:tc>
          <w:tcPr>
            <w:tcW w:type="dxa" w:w="4422"/>
            <w:tcMar>
              <w:top w:w="70" w:type="dxa"/>
              <w:left w:w="80" w:type="dxa"/>
              <w:bottom w:w="70" w:type="dxa"/>
              <w:right w:w="80" w:type="dxa"/>
            </w:tcMar>
            <w:vAlign w:val="top"/>
          </w:tcPr>
          <w:p>
            <w:pPr>
              <w:spacing w:after="0"/>
            </w:pPr>
            <w:r>
              <w:rPr>
                <w:rFonts w:ascii="Cambria" w:hAnsi="Cambria" w:eastAsia="Cambria"/>
                <w:b w:val="0"/>
                <w:i w:val="0"/>
                <w:color w:val="000000"/>
                <w:sz w:val="15"/>
              </w:rPr>
              <w:t>How likely/credible is the scenario and what impact could result?</w:t>
            </w:r>
          </w:p>
        </w:tc>
        <w:tc>
          <w:tcPr>
            <w:tcW w:type="dxa" w:w="3515"/>
            <w:tcMar>
              <w:top w:w="70" w:type="dxa"/>
              <w:left w:w="80" w:type="dxa"/>
              <w:bottom w:w="70" w:type="dxa"/>
              <w:right w:w="80" w:type="dxa"/>
            </w:tcMar>
            <w:vAlign w:val="top"/>
          </w:tcPr>
          <w:p>
            <w:pPr>
              <w:spacing w:after="0"/>
            </w:pPr>
            <w:r>
              <w:rPr>
                <w:rFonts w:ascii="Cambria" w:hAnsi="Cambria" w:eastAsia="Cambria"/>
                <w:b w:val="0"/>
                <w:i w:val="0"/>
                <w:color w:val="000000"/>
                <w:sz w:val="15"/>
              </w:rPr>
              <w:t>Likelihood/impact rationale</w:t>
            </w:r>
          </w:p>
        </w:tc>
      </w:tr>
      <w:tr>
        <w:trPr>
          <w:cantSplit/>
        </w:trPr>
        <w:tc>
          <w:tcPr>
            <w:tcW w:type="dxa" w:w="1417"/>
            <w:tcMar>
              <w:top w:w="70" w:type="dxa"/>
              <w:left w:w="80" w:type="dxa"/>
              <w:bottom w:w="70" w:type="dxa"/>
              <w:right w:w="80" w:type="dxa"/>
            </w:tcMar>
            <w:vAlign w:val="top"/>
          </w:tcPr>
          <w:p>
            <w:pPr>
              <w:spacing w:after="0"/>
            </w:pPr>
            <w:r>
              <w:rPr>
                <w:rFonts w:ascii="Cambria" w:hAnsi="Cambria" w:eastAsia="Cambria"/>
                <w:b w:val="0"/>
                <w:i w:val="0"/>
                <w:color w:val="000000"/>
                <w:sz w:val="15"/>
              </w:rPr>
              <w:t>Evaluate</w:t>
            </w:r>
          </w:p>
        </w:tc>
        <w:tc>
          <w:tcPr>
            <w:tcW w:type="dxa" w:w="4422"/>
            <w:tcMar>
              <w:top w:w="70" w:type="dxa"/>
              <w:left w:w="80" w:type="dxa"/>
              <w:bottom w:w="70" w:type="dxa"/>
              <w:right w:w="80" w:type="dxa"/>
            </w:tcMar>
            <w:vAlign w:val="top"/>
          </w:tcPr>
          <w:p>
            <w:pPr>
              <w:spacing w:after="0"/>
            </w:pPr>
            <w:r>
              <w:rPr>
                <w:rFonts w:ascii="Cambria" w:hAnsi="Cambria" w:eastAsia="Cambria"/>
                <w:b w:val="0"/>
                <w:i w:val="0"/>
                <w:color w:val="000000"/>
                <w:sz w:val="15"/>
              </w:rPr>
              <w:t>Is the risk acceptable under approved criteria?</w:t>
            </w:r>
          </w:p>
        </w:tc>
        <w:tc>
          <w:tcPr>
            <w:tcW w:type="dxa" w:w="3515"/>
            <w:tcMar>
              <w:top w:w="70" w:type="dxa"/>
              <w:left w:w="80" w:type="dxa"/>
              <w:bottom w:w="70" w:type="dxa"/>
              <w:right w:w="80" w:type="dxa"/>
            </w:tcMar>
            <w:vAlign w:val="top"/>
          </w:tcPr>
          <w:p>
            <w:pPr>
              <w:spacing w:after="0"/>
            </w:pPr>
            <w:r>
              <w:rPr>
                <w:rFonts w:ascii="Cambria" w:hAnsi="Cambria" w:eastAsia="Cambria"/>
                <w:b w:val="0"/>
                <w:i w:val="0"/>
                <w:color w:val="000000"/>
                <w:sz w:val="15"/>
              </w:rPr>
              <w:t>Risk rating and decision</w:t>
            </w:r>
          </w:p>
        </w:tc>
      </w:tr>
      <w:tr>
        <w:trPr>
          <w:cantSplit/>
        </w:trPr>
        <w:tc>
          <w:tcPr>
            <w:tcW w:type="dxa" w:w="1417"/>
            <w:tcMar>
              <w:top w:w="70" w:type="dxa"/>
              <w:left w:w="80" w:type="dxa"/>
              <w:bottom w:w="70" w:type="dxa"/>
              <w:right w:w="80" w:type="dxa"/>
            </w:tcMar>
            <w:vAlign w:val="top"/>
          </w:tcPr>
          <w:p>
            <w:pPr>
              <w:spacing w:after="0"/>
            </w:pPr>
            <w:r>
              <w:rPr>
                <w:rFonts w:ascii="Cambria" w:hAnsi="Cambria" w:eastAsia="Cambria"/>
                <w:b w:val="0"/>
                <w:i w:val="0"/>
                <w:color w:val="000000"/>
                <w:sz w:val="15"/>
              </w:rPr>
              <w:t>Treat</w:t>
            </w:r>
          </w:p>
        </w:tc>
        <w:tc>
          <w:tcPr>
            <w:tcW w:type="dxa" w:w="4422"/>
            <w:tcMar>
              <w:top w:w="70" w:type="dxa"/>
              <w:left w:w="80" w:type="dxa"/>
              <w:bottom w:w="70" w:type="dxa"/>
              <w:right w:w="80" w:type="dxa"/>
            </w:tcMar>
            <w:vAlign w:val="top"/>
          </w:tcPr>
          <w:p>
            <w:pPr>
              <w:spacing w:after="0"/>
            </w:pPr>
            <w:r>
              <w:rPr>
                <w:rFonts w:ascii="Cambria" w:hAnsi="Cambria" w:eastAsia="Cambria"/>
                <w:b w:val="0"/>
                <w:i w:val="0"/>
                <w:color w:val="000000"/>
                <w:sz w:val="15"/>
              </w:rPr>
              <w:t>What will be avoided, modified, shared or retained? Which controls/actions are required?</w:t>
            </w:r>
          </w:p>
        </w:tc>
        <w:tc>
          <w:tcPr>
            <w:tcW w:type="dxa" w:w="3515"/>
            <w:tcMar>
              <w:top w:w="70" w:type="dxa"/>
              <w:left w:w="80" w:type="dxa"/>
              <w:bottom w:w="70" w:type="dxa"/>
              <w:right w:w="80" w:type="dxa"/>
            </w:tcMar>
            <w:vAlign w:val="top"/>
          </w:tcPr>
          <w:p>
            <w:pPr>
              <w:spacing w:after="0"/>
            </w:pPr>
            <w:r>
              <w:rPr>
                <w:rFonts w:ascii="Cambria" w:hAnsi="Cambria" w:eastAsia="Cambria"/>
                <w:b w:val="0"/>
                <w:i w:val="0"/>
                <w:color w:val="000000"/>
                <w:sz w:val="15"/>
              </w:rPr>
              <w:t>Treatment decision / SoA / action plan</w:t>
            </w:r>
          </w:p>
        </w:tc>
      </w:tr>
      <w:tr>
        <w:trPr>
          <w:cantSplit/>
        </w:trPr>
        <w:tc>
          <w:tcPr>
            <w:tcW w:type="dxa" w:w="1417"/>
            <w:tcMar>
              <w:top w:w="70" w:type="dxa"/>
              <w:left w:w="80" w:type="dxa"/>
              <w:bottom w:w="70" w:type="dxa"/>
              <w:right w:w="80" w:type="dxa"/>
            </w:tcMar>
            <w:vAlign w:val="top"/>
          </w:tcPr>
          <w:p>
            <w:pPr>
              <w:spacing w:after="0"/>
            </w:pPr>
            <w:r>
              <w:rPr>
                <w:rFonts w:ascii="Cambria" w:hAnsi="Cambria" w:eastAsia="Cambria"/>
                <w:b w:val="0"/>
                <w:i w:val="0"/>
                <w:color w:val="000000"/>
                <w:sz w:val="15"/>
              </w:rPr>
              <w:t>Monitor</w:t>
            </w:r>
          </w:p>
        </w:tc>
        <w:tc>
          <w:tcPr>
            <w:tcW w:type="dxa" w:w="4422"/>
            <w:tcMar>
              <w:top w:w="70" w:type="dxa"/>
              <w:left w:w="80" w:type="dxa"/>
              <w:bottom w:w="70" w:type="dxa"/>
              <w:right w:w="80" w:type="dxa"/>
            </w:tcMar>
            <w:vAlign w:val="top"/>
          </w:tcPr>
          <w:p>
            <w:pPr>
              <w:spacing w:after="0"/>
            </w:pPr>
            <w:r>
              <w:rPr>
                <w:rFonts w:ascii="Cambria" w:hAnsi="Cambria" w:eastAsia="Cambria"/>
                <w:b w:val="0"/>
                <w:i w:val="0"/>
                <w:color w:val="000000"/>
                <w:sz w:val="15"/>
              </w:rPr>
              <w:t>Has exposure, control effectiveness or context changed?</w:t>
            </w:r>
          </w:p>
        </w:tc>
        <w:tc>
          <w:tcPr>
            <w:tcW w:type="dxa" w:w="3515"/>
            <w:tcMar>
              <w:top w:w="70" w:type="dxa"/>
              <w:left w:w="80" w:type="dxa"/>
              <w:bottom w:w="70" w:type="dxa"/>
              <w:right w:w="80" w:type="dxa"/>
            </w:tcMar>
            <w:vAlign w:val="top"/>
          </w:tcPr>
          <w:p>
            <w:pPr>
              <w:spacing w:after="0"/>
            </w:pPr>
            <w:r>
              <w:rPr>
                <w:rFonts w:ascii="Cambria" w:hAnsi="Cambria" w:eastAsia="Cambria"/>
                <w:b w:val="0"/>
                <w:i w:val="0"/>
                <w:color w:val="000000"/>
                <w:sz w:val="15"/>
              </w:rPr>
              <w:t>Review, KPI, incident, audit and treatment evidence</w:t>
            </w:r>
          </w:p>
        </w:tc>
      </w:tr>
    </w:tbl>
    <w:p>
      <w:pPr>
        <w:spacing w:after="0"/>
      </w:pPr>
    </w:p>
    <w:p>
      <w:pPr>
        <w:keepNext/>
        <w:spacing w:before="140" w:after="60"/>
      </w:pPr>
      <w:r>
        <w:rPr>
          <w:rFonts w:ascii="Cambria" w:hAnsi="Cambria" w:eastAsia="Cambria"/>
          <w:b/>
          <w:i w:val="0"/>
          <w:color w:val="1F4E79"/>
          <w:sz w:val="24"/>
        </w:rPr>
        <w:t>7. Statement of Applicability - Use It as a Control Decision Record</w:t>
      </w:r>
    </w:p>
    <w:p>
      <w:pPr>
        <w:spacing w:after="60" w:line="250" w:lineRule="auto"/>
      </w:pPr>
      <w:r>
        <w:rPr>
          <w:rFonts w:ascii="Cambria" w:hAnsi="Cambria" w:eastAsia="Cambria"/>
          <w:b w:val="0"/>
          <w:i w:val="0"/>
          <w:color w:val="000000"/>
          <w:sz w:val="19"/>
        </w:rPr>
        <w:t>The SoA should explain which Annex A controls are applicable or not applicable, why, and the implementation status. It should connect to risk treatment, obligations and actual control ownership/evidence. Avoid treating the SoA as a checklist that automatically requires every control.</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9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SoA Field</w:t>
            </w:r>
          </w:p>
        </w:tc>
        <w:tc>
          <w:tcPr>
            <w:tcW w:type="dxa" w:w="686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Good Practice</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Control reference</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Use the organization’s controlled control reference / Annex A identifier.</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Applicability</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Yes/No based on risk, obligations and business context.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Justification</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Short, decision-oriented reason for inclusion/exclusion.</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Implementation status</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Reflect actual implementation, not planned intent.</w:t>
            </w:r>
          </w:p>
        </w:tc>
      </w:tr>
      <w:tr>
        <w:trPr>
          <w:cantSplit/>
        </w:trPr>
        <w:tc>
          <w:tcPr>
            <w:tcW w:type="dxa" w:w="2494"/>
            <w:tcMar>
              <w:top w:w="70" w:type="dxa"/>
              <w:left w:w="80" w:type="dxa"/>
              <w:bottom w:w="70" w:type="dxa"/>
              <w:right w:w="80" w:type="dxa"/>
            </w:tcMar>
            <w:vAlign w:val="top"/>
          </w:tcPr>
          <w:p>
            <w:pPr>
              <w:spacing w:after="0"/>
            </w:pPr>
            <w:r>
              <w:rPr>
                <w:rFonts w:ascii="Cambria" w:hAnsi="Cambria" w:eastAsia="Cambria"/>
                <w:b w:val="0"/>
                <w:i w:val="0"/>
                <w:color w:val="000000"/>
                <w:sz w:val="16"/>
              </w:rPr>
              <w:t>Owner / evidence</w:t>
            </w:r>
          </w:p>
        </w:tc>
        <w:tc>
          <w:tcPr>
            <w:tcW w:type="dxa" w:w="6860"/>
            <w:tcMar>
              <w:top w:w="70" w:type="dxa"/>
              <w:left w:w="80" w:type="dxa"/>
              <w:bottom w:w="70" w:type="dxa"/>
              <w:right w:w="80" w:type="dxa"/>
            </w:tcMar>
            <w:vAlign w:val="top"/>
          </w:tcPr>
          <w:p>
            <w:pPr>
              <w:spacing w:after="0"/>
            </w:pPr>
            <w:r>
              <w:rPr>
                <w:rFonts w:ascii="Cambria" w:hAnsi="Cambria" w:eastAsia="Cambria"/>
                <w:b w:val="0"/>
                <w:i w:val="0"/>
                <w:color w:val="000000"/>
                <w:sz w:val="16"/>
              </w:rPr>
              <w:t>Link to accountable owner and relevant procedure/system/evidence where useful.</w:t>
            </w:r>
          </w:p>
        </w:tc>
      </w:tr>
    </w:tbl>
    <w:p>
      <w:pPr>
        <w:spacing w:after="0"/>
      </w:pPr>
    </w:p>
    <w:p>
      <w:pPr>
        <w:keepNext/>
        <w:spacing w:before="140" w:after="60"/>
      </w:pPr>
      <w:r>
        <w:rPr>
          <w:rFonts w:ascii="Cambria" w:hAnsi="Cambria" w:eastAsia="Cambria"/>
          <w:b/>
          <w:i w:val="0"/>
          <w:color w:val="1F4E79"/>
          <w:sz w:val="24"/>
        </w:rPr>
        <w:t>8. Operating Security Controls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98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Domain</w:t>
            </w:r>
          </w:p>
        </w:tc>
        <w:tc>
          <w:tcPr>
            <w:tcW w:type="dxa" w:w="3912"/>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Operational Focus</w:t>
            </w:r>
          </w:p>
        </w:tc>
        <w:tc>
          <w:tcPr>
            <w:tcW w:type="dxa" w:w="345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Examples of Evidence</w:t>
            </w:r>
          </w:p>
        </w:tc>
      </w:tr>
      <w:tr>
        <w:trPr>
          <w:cantSplit/>
        </w:trPr>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5"/>
              </w:rPr>
              <w:t>Organizational</w:t>
            </w:r>
          </w:p>
        </w:tc>
        <w:tc>
          <w:tcPr>
            <w:tcW w:type="dxa" w:w="3912"/>
            <w:tcMar>
              <w:top w:w="70" w:type="dxa"/>
              <w:left w:w="80" w:type="dxa"/>
              <w:bottom w:w="70" w:type="dxa"/>
              <w:right w:w="80" w:type="dxa"/>
            </w:tcMar>
            <w:vAlign w:val="top"/>
          </w:tcPr>
          <w:p>
            <w:pPr>
              <w:spacing w:after="0"/>
            </w:pPr>
            <w:r>
              <w:rPr>
                <w:rFonts w:ascii="Cambria" w:hAnsi="Cambria" w:eastAsia="Cambria"/>
                <w:b w:val="0"/>
                <w:i w:val="0"/>
                <w:color w:val="000000"/>
                <w:sz w:val="15"/>
              </w:rPr>
              <w:t>Governance, information/assets, access governance, suppliers, incidents, continuity and compliance.</w:t>
            </w:r>
          </w:p>
        </w:tc>
        <w:tc>
          <w:tcPr>
            <w:tcW w:type="dxa" w:w="3458"/>
            <w:tcMar>
              <w:top w:w="70" w:type="dxa"/>
              <w:left w:w="80" w:type="dxa"/>
              <w:bottom w:w="70" w:type="dxa"/>
              <w:right w:w="80" w:type="dxa"/>
            </w:tcMar>
            <w:vAlign w:val="top"/>
          </w:tcPr>
          <w:p>
            <w:pPr>
              <w:spacing w:after="0"/>
            </w:pPr>
            <w:r>
              <w:rPr>
                <w:rFonts w:ascii="Cambria" w:hAnsi="Cambria" w:eastAsia="Cambria"/>
                <w:b w:val="0"/>
                <w:i w:val="0"/>
                <w:color w:val="000000"/>
                <w:sz w:val="15"/>
              </w:rPr>
              <w:t>Registers, approvals, reviews, contracts, incident and continuity records</w:t>
            </w:r>
          </w:p>
        </w:tc>
      </w:tr>
      <w:tr>
        <w:trPr>
          <w:cantSplit/>
        </w:trPr>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5"/>
              </w:rPr>
              <w:t>People</w:t>
            </w:r>
          </w:p>
        </w:tc>
        <w:tc>
          <w:tcPr>
            <w:tcW w:type="dxa" w:w="3912"/>
            <w:tcMar>
              <w:top w:w="70" w:type="dxa"/>
              <w:left w:w="80" w:type="dxa"/>
              <w:bottom w:w="70" w:type="dxa"/>
              <w:right w:w="80" w:type="dxa"/>
            </w:tcMar>
            <w:vAlign w:val="top"/>
          </w:tcPr>
          <w:p>
            <w:pPr>
              <w:spacing w:after="0"/>
            </w:pPr>
            <w:r>
              <w:rPr>
                <w:rFonts w:ascii="Cambria" w:hAnsi="Cambria" w:eastAsia="Cambria"/>
                <w:b w:val="0"/>
                <w:i w:val="0"/>
                <w:color w:val="000000"/>
                <w:sz w:val="15"/>
              </w:rPr>
              <w:t>Screening, responsibilities, awareness/training, remote work, changes/termination.</w:t>
            </w:r>
          </w:p>
        </w:tc>
        <w:tc>
          <w:tcPr>
            <w:tcW w:type="dxa" w:w="3458"/>
            <w:tcMar>
              <w:top w:w="70" w:type="dxa"/>
              <w:left w:w="80" w:type="dxa"/>
              <w:bottom w:w="70" w:type="dxa"/>
              <w:right w:w="80" w:type="dxa"/>
            </w:tcMar>
            <w:vAlign w:val="top"/>
          </w:tcPr>
          <w:p>
            <w:pPr>
              <w:spacing w:after="0"/>
            </w:pPr>
            <w:r>
              <w:rPr>
                <w:rFonts w:ascii="Cambria" w:hAnsi="Cambria" w:eastAsia="Cambria"/>
                <w:b w:val="0"/>
                <w:i w:val="0"/>
                <w:color w:val="000000"/>
                <w:sz w:val="15"/>
              </w:rPr>
              <w:t>HR/security records, acknowledgements, training, access removal</w:t>
            </w:r>
          </w:p>
        </w:tc>
      </w:tr>
      <w:tr>
        <w:trPr>
          <w:cantSplit/>
        </w:trPr>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5"/>
              </w:rPr>
              <w:t>Physical</w:t>
            </w:r>
          </w:p>
        </w:tc>
        <w:tc>
          <w:tcPr>
            <w:tcW w:type="dxa" w:w="3912"/>
            <w:tcMar>
              <w:top w:w="70" w:type="dxa"/>
              <w:left w:w="80" w:type="dxa"/>
              <w:bottom w:w="70" w:type="dxa"/>
              <w:right w:w="80" w:type="dxa"/>
            </w:tcMar>
            <w:vAlign w:val="top"/>
          </w:tcPr>
          <w:p>
            <w:pPr>
              <w:spacing w:after="0"/>
            </w:pPr>
            <w:r>
              <w:rPr>
                <w:rFonts w:ascii="Cambria" w:hAnsi="Cambria" w:eastAsia="Cambria"/>
                <w:b w:val="0"/>
                <w:i w:val="0"/>
                <w:color w:val="000000"/>
                <w:sz w:val="15"/>
              </w:rPr>
              <w:t>Secure areas, entry, equipment, environmental threats, media and disposal.</w:t>
            </w:r>
          </w:p>
        </w:tc>
        <w:tc>
          <w:tcPr>
            <w:tcW w:type="dxa" w:w="3458"/>
            <w:tcMar>
              <w:top w:w="70" w:type="dxa"/>
              <w:left w:w="80" w:type="dxa"/>
              <w:bottom w:w="70" w:type="dxa"/>
              <w:right w:w="80" w:type="dxa"/>
            </w:tcMar>
            <w:vAlign w:val="top"/>
          </w:tcPr>
          <w:p>
            <w:pPr>
              <w:spacing w:after="0"/>
            </w:pPr>
            <w:r>
              <w:rPr>
                <w:rFonts w:ascii="Cambria" w:hAnsi="Cambria" w:eastAsia="Cambria"/>
                <w:b w:val="0"/>
                <w:i w:val="0"/>
                <w:color w:val="000000"/>
                <w:sz w:val="15"/>
              </w:rPr>
              <w:t>Access records, inspections, maintenance, disposal certificates</w:t>
            </w:r>
          </w:p>
        </w:tc>
      </w:tr>
      <w:tr>
        <w:trPr>
          <w:cantSplit/>
        </w:trPr>
        <w:tc>
          <w:tcPr>
            <w:tcW w:type="dxa" w:w="1984"/>
            <w:tcMar>
              <w:top w:w="70" w:type="dxa"/>
              <w:left w:w="80" w:type="dxa"/>
              <w:bottom w:w="70" w:type="dxa"/>
              <w:right w:w="80" w:type="dxa"/>
            </w:tcMar>
            <w:vAlign w:val="top"/>
          </w:tcPr>
          <w:p>
            <w:pPr>
              <w:spacing w:after="0"/>
            </w:pPr>
            <w:r>
              <w:rPr>
                <w:rFonts w:ascii="Cambria" w:hAnsi="Cambria" w:eastAsia="Cambria"/>
                <w:b w:val="0"/>
                <w:i w:val="0"/>
                <w:color w:val="000000"/>
                <w:sz w:val="15"/>
              </w:rPr>
              <w:t>Technological</w:t>
            </w:r>
          </w:p>
        </w:tc>
        <w:tc>
          <w:tcPr>
            <w:tcW w:type="dxa" w:w="3912"/>
            <w:tcMar>
              <w:top w:w="70" w:type="dxa"/>
              <w:left w:w="80" w:type="dxa"/>
              <w:bottom w:w="70" w:type="dxa"/>
              <w:right w:w="80" w:type="dxa"/>
            </w:tcMar>
            <w:vAlign w:val="top"/>
          </w:tcPr>
          <w:p>
            <w:pPr>
              <w:spacing w:after="0"/>
            </w:pPr>
            <w:r>
              <w:rPr>
                <w:rFonts w:ascii="Cambria" w:hAnsi="Cambria" w:eastAsia="Cambria"/>
                <w:b w:val="0"/>
                <w:i w:val="0"/>
                <w:color w:val="000000"/>
                <w:sz w:val="15"/>
              </w:rPr>
              <w:t>Endpoint/identity security, vulnerabilities, configuration, data protection, backup, logging, networks and secure development.</w:t>
            </w:r>
          </w:p>
        </w:tc>
        <w:tc>
          <w:tcPr>
            <w:tcW w:type="dxa" w:w="3458"/>
            <w:tcMar>
              <w:top w:w="70" w:type="dxa"/>
              <w:left w:w="80" w:type="dxa"/>
              <w:bottom w:w="70" w:type="dxa"/>
              <w:right w:w="80" w:type="dxa"/>
            </w:tcMar>
            <w:vAlign w:val="top"/>
          </w:tcPr>
          <w:p>
            <w:pPr>
              <w:spacing w:after="0"/>
            </w:pPr>
            <w:r>
              <w:rPr>
                <w:rFonts w:ascii="Cambria" w:hAnsi="Cambria" w:eastAsia="Cambria"/>
                <w:b w:val="0"/>
                <w:i w:val="0"/>
                <w:color w:val="000000"/>
                <w:sz w:val="15"/>
              </w:rPr>
              <w:t>System reports, tickets, configurations, logs, test results and approvals</w:t>
            </w:r>
          </w:p>
        </w:tc>
      </w:tr>
    </w:tbl>
    <w:p>
      <w:pPr>
        <w:spacing w:after="0"/>
      </w:pPr>
    </w:p>
    <w:p>
      <w:pPr>
        <w:keepNext/>
        <w:spacing w:before="140" w:after="60"/>
      </w:pPr>
      <w:r>
        <w:rPr>
          <w:rFonts w:ascii="Cambria" w:hAnsi="Cambria" w:eastAsia="Cambria"/>
          <w:b/>
          <w:i w:val="0"/>
          <w:color w:val="1F4E79"/>
          <w:sz w:val="24"/>
        </w:rPr>
        <w:t>9. Support Processes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2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Support Area</w:t>
            </w:r>
          </w:p>
        </w:tc>
        <w:tc>
          <w:tcPr>
            <w:tcW w:type="dxa" w:w="703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Expectation</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Resources</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Provide people, budget, tools/services and infrastructure according to risk and ISMS priorities.</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Competence</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Define role-specific competence and retain evidence that required competence exists.</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Awareness</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Make security responsibilities and reporting expectations understandable to the relevant population.</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Communication</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Define who communicates what, when and to whom for routine matters, incidents and external obligations.</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Documented information</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Keep procedures and records current, protected, retrievable and proportionate to operational needs.</w:t>
            </w:r>
          </w:p>
        </w:tc>
      </w:tr>
    </w:tbl>
    <w:p>
      <w:pPr>
        <w:spacing w:after="0"/>
      </w:pPr>
    </w:p>
    <w:p>
      <w:pPr>
        <w:keepNext/>
        <w:spacing w:before="140" w:after="60"/>
      </w:pPr>
      <w:r>
        <w:rPr>
          <w:rFonts w:ascii="Cambria" w:hAnsi="Cambria" w:eastAsia="Cambria"/>
          <w:b/>
          <w:i w:val="0"/>
          <w:color w:val="1F4E79"/>
          <w:sz w:val="24"/>
        </w:rPr>
        <w:t>10. Monitor Performance and Control Effectiveness</w:t>
      </w:r>
    </w:p>
    <w:p>
      <w:pPr>
        <w:spacing w:after="60" w:line="250" w:lineRule="auto"/>
      </w:pPr>
      <w:r>
        <w:rPr>
          <w:rFonts w:ascii="Cambria" w:hAnsi="Cambria" w:eastAsia="Cambria"/>
          <w:b w:val="0"/>
          <w:i w:val="0"/>
          <w:color w:val="000000"/>
          <w:sz w:val="19"/>
        </w:rPr>
        <w:t>Choose indicators that support decisions. Combine leading indicators (for example treatment completion, access-review coverage or critical vulnerability ageing) with outcome indicators (incidents, service/security impact, recurrence). Define owner, source, frequency, target/threshold and action trigger.</w:t>
      </w:r>
    </w:p>
    <w:p>
      <w:pPr>
        <w:keepNext/>
        <w:spacing w:before="140" w:after="60"/>
      </w:pPr>
      <w:r>
        <w:rPr>
          <w:rFonts w:ascii="Cambria" w:hAnsi="Cambria" w:eastAsia="Cambria"/>
          <w:b/>
          <w:i w:val="0"/>
          <w:color w:val="1F4E79"/>
          <w:sz w:val="24"/>
        </w:rPr>
        <w:t>11. Internal Audit</w:t>
      </w:r>
    </w:p>
    <w:p>
      <w:pPr>
        <w:spacing w:after="60" w:line="250" w:lineRule="auto"/>
      </w:pPr>
      <w:r>
        <w:rPr>
          <w:rFonts w:ascii="Cambria" w:hAnsi="Cambria" w:eastAsia="Cambria"/>
          <w:b w:val="0"/>
          <w:i w:val="0"/>
          <w:color w:val="000000"/>
          <w:sz w:val="19"/>
        </w:rPr>
        <w:t>Audit the ISMS using risk, process importance, change, incidents and previous results to set coverage. Verify operation and evidence, not only document existence. Protect sensitive evidence and write findings as criterion + evidence + demonstrated gap.</w:t>
      </w:r>
    </w:p>
    <w:p>
      <w:pPr>
        <w:keepNext/>
        <w:spacing w:before="140" w:after="60"/>
      </w:pPr>
      <w:r>
        <w:rPr>
          <w:rFonts w:ascii="Cambria" w:hAnsi="Cambria" w:eastAsia="Cambria"/>
          <w:b/>
          <w:i w:val="0"/>
          <w:color w:val="1F4E79"/>
          <w:sz w:val="24"/>
        </w:rPr>
        <w:t>12. Management Review</w:t>
      </w:r>
    </w:p>
    <w:p>
      <w:pPr>
        <w:spacing w:after="60" w:line="250" w:lineRule="auto"/>
      </w:pPr>
      <w:r>
        <w:rPr>
          <w:rFonts w:ascii="Cambria" w:hAnsi="Cambria" w:eastAsia="Cambria"/>
          <w:b w:val="0"/>
          <w:i w:val="0"/>
          <w:color w:val="000000"/>
          <w:sz w:val="19"/>
        </w:rPr>
        <w:t>Use management review to make decisions based on current evidence. Focus on material change, risk, objective/control performance, incidents, audit/CAPA, supplier security, resources and improvement. Record explicit conclusions, decisions and assigned actions.</w:t>
      </w:r>
    </w:p>
    <w:p>
      <w:pPr>
        <w:keepNext/>
        <w:spacing w:before="140" w:after="60"/>
      </w:pPr>
      <w:r>
        <w:rPr>
          <w:rFonts w:ascii="Cambria" w:hAnsi="Cambria" w:eastAsia="Cambria"/>
          <w:b/>
          <w:i w:val="0"/>
          <w:color w:val="1F4E79"/>
          <w:sz w:val="24"/>
        </w:rPr>
        <w:t>13. Corrective Action and Improvement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83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Situation</w:t>
            </w:r>
          </w:p>
        </w:tc>
        <w:tc>
          <w:tcPr>
            <w:tcW w:type="dxa" w:w="652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Response</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Immediate security issue</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Contain/correct through the appropriate incident, vulnerability, change or operational process.</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ISMS nonconformity</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Correct the issue, evaluate cause, implement corrective action and verify effectiveness.</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Risk treatment gap</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Update risk/treatment records and implement the agreed treatment or obtain an authorized risk decision.</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Improvement opportunity</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Prioritize based on risk/value and track implementation where management chooses to proceed.</w:t>
            </w:r>
          </w:p>
        </w:tc>
      </w:tr>
    </w:tbl>
    <w:p>
      <w:pPr>
        <w:spacing w:after="0"/>
      </w:pPr>
    </w:p>
    <w:p>
      <w:pPr>
        <w:keepNext/>
        <w:spacing w:before="140" w:after="60"/>
      </w:pPr>
      <w:r>
        <w:rPr>
          <w:rFonts w:ascii="Cambria" w:hAnsi="Cambria" w:eastAsia="Cambria"/>
          <w:b/>
          <w:i w:val="0"/>
          <w:color w:val="1F4E79"/>
          <w:sz w:val="24"/>
        </w:rPr>
        <w:t>14. Certification Readiness - Evidence Before Appearance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The ISMS scope and boundaries are clear and implemented in practice.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Risk assessment, SoA and treatment plan agree with each other and with actual controls.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Required controls have operating evidence over an appropriate period.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Objectives/KPIs are monitored and used for decisions.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audit has been completed and significant findings are being effectively addressed.</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Management review has occurred with decisions/actions.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Documented information is controlled and current.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Personnel can explain relevant responsibilities and demonstrate actual control operation.</w:t>
      </w:r>
    </w:p>
    <w:p>
      <w:pPr>
        <w:keepNext/>
        <w:spacing w:before="140" w:after="60"/>
      </w:pPr>
      <w:r>
        <w:rPr>
          <w:rFonts w:ascii="Cambria" w:hAnsi="Cambria" w:eastAsia="Cambria"/>
          <w:b/>
          <w:i w:val="0"/>
          <w:color w:val="1F4E79"/>
          <w:sz w:val="24"/>
        </w:rPr>
        <w:t>15. ISMS Quick Health Check</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289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Question</w:t>
            </w:r>
          </w:p>
        </w:tc>
        <w:tc>
          <w:tcPr>
            <w:tcW w:type="dxa" w:w="323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Healthy Signal</w:t>
            </w:r>
          </w:p>
        </w:tc>
        <w:tc>
          <w:tcPr>
            <w:tcW w:type="dxa" w:w="323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5"/>
              </w:rPr>
              <w:t>Warning Signal</w:t>
            </w:r>
          </w:p>
        </w:tc>
      </w:tr>
      <w:tr>
        <w:trPr>
          <w:cantSplit/>
        </w:trPr>
        <w:tc>
          <w:tcPr>
            <w:tcW w:type="dxa" w:w="2891"/>
            <w:tcMar>
              <w:top w:w="70" w:type="dxa"/>
              <w:left w:w="80" w:type="dxa"/>
              <w:bottom w:w="70" w:type="dxa"/>
              <w:right w:w="80" w:type="dxa"/>
            </w:tcMar>
            <w:vAlign w:val="top"/>
          </w:tcPr>
          <w:p>
            <w:pPr>
              <w:spacing w:after="0"/>
            </w:pPr>
            <w:r>
              <w:rPr>
                <w:rFonts w:ascii="Cambria" w:hAnsi="Cambria" w:eastAsia="Cambria"/>
                <w:b w:val="0"/>
                <w:i w:val="0"/>
                <w:color w:val="000000"/>
                <w:sz w:val="15"/>
              </w:rPr>
              <w:t>Can management name the top security risks?</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Current risks and treatment decisions are understood.</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Risk register exists but is not used for decisions.</w:t>
            </w:r>
          </w:p>
        </w:tc>
      </w:tr>
      <w:tr>
        <w:trPr>
          <w:cantSplit/>
        </w:trPr>
        <w:tc>
          <w:tcPr>
            <w:tcW w:type="dxa" w:w="2891"/>
            <w:tcMar>
              <w:top w:w="70" w:type="dxa"/>
              <w:left w:w="80" w:type="dxa"/>
              <w:bottom w:w="70" w:type="dxa"/>
              <w:right w:w="80" w:type="dxa"/>
            </w:tcMar>
            <w:vAlign w:val="top"/>
          </w:tcPr>
          <w:p>
            <w:pPr>
              <w:spacing w:after="0"/>
            </w:pPr>
            <w:r>
              <w:rPr>
                <w:rFonts w:ascii="Cambria" w:hAnsi="Cambria" w:eastAsia="Cambria"/>
                <w:b w:val="0"/>
                <w:i w:val="0"/>
                <w:color w:val="000000"/>
                <w:sz w:val="15"/>
              </w:rPr>
              <w:t>Do controls have owners and evidence?</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Owners can show operation and exceptions.</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Policy names exist but operating evidence is unclear.</w:t>
            </w:r>
          </w:p>
        </w:tc>
      </w:tr>
      <w:tr>
        <w:trPr>
          <w:cantSplit/>
        </w:trPr>
        <w:tc>
          <w:tcPr>
            <w:tcW w:type="dxa" w:w="2891"/>
            <w:tcMar>
              <w:top w:w="70" w:type="dxa"/>
              <w:left w:w="80" w:type="dxa"/>
              <w:bottom w:w="70" w:type="dxa"/>
              <w:right w:w="80" w:type="dxa"/>
            </w:tcMar>
            <w:vAlign w:val="top"/>
          </w:tcPr>
          <w:p>
            <w:pPr>
              <w:spacing w:after="0"/>
            </w:pPr>
            <w:r>
              <w:rPr>
                <w:rFonts w:ascii="Cambria" w:hAnsi="Cambria" w:eastAsia="Cambria"/>
                <w:b w:val="0"/>
                <w:i w:val="0"/>
                <w:color w:val="000000"/>
                <w:sz w:val="15"/>
              </w:rPr>
              <w:t>Do incidents change the ISMS?</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Lessons lead to risk/control/process updates.</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Incidents close without systemic learning.</w:t>
            </w:r>
          </w:p>
        </w:tc>
      </w:tr>
      <w:tr>
        <w:trPr>
          <w:cantSplit/>
        </w:trPr>
        <w:tc>
          <w:tcPr>
            <w:tcW w:type="dxa" w:w="2891"/>
            <w:tcMar>
              <w:top w:w="70" w:type="dxa"/>
              <w:left w:w="80" w:type="dxa"/>
              <w:bottom w:w="70" w:type="dxa"/>
              <w:right w:w="80" w:type="dxa"/>
            </w:tcMar>
            <w:vAlign w:val="top"/>
          </w:tcPr>
          <w:p>
            <w:pPr>
              <w:spacing w:after="0"/>
            </w:pPr>
            <w:r>
              <w:rPr>
                <w:rFonts w:ascii="Cambria" w:hAnsi="Cambria" w:eastAsia="Cambria"/>
                <w:b w:val="0"/>
                <w:i w:val="0"/>
                <w:color w:val="000000"/>
                <w:sz w:val="15"/>
              </w:rPr>
              <w:t>Are KPIs useful?</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Metrics trigger decisions/actions.</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Metrics are reported without thresholds or decisions.</w:t>
            </w:r>
          </w:p>
        </w:tc>
      </w:tr>
      <w:tr>
        <w:trPr>
          <w:cantSplit/>
        </w:trPr>
        <w:tc>
          <w:tcPr>
            <w:tcW w:type="dxa" w:w="2891"/>
            <w:tcMar>
              <w:top w:w="70" w:type="dxa"/>
              <w:left w:w="80" w:type="dxa"/>
              <w:bottom w:w="70" w:type="dxa"/>
              <w:right w:w="80" w:type="dxa"/>
            </w:tcMar>
            <w:vAlign w:val="top"/>
          </w:tcPr>
          <w:p>
            <w:pPr>
              <w:spacing w:after="0"/>
            </w:pPr>
            <w:r>
              <w:rPr>
                <w:rFonts w:ascii="Cambria" w:hAnsi="Cambria" w:eastAsia="Cambria"/>
                <w:b w:val="0"/>
                <w:i w:val="0"/>
                <w:color w:val="000000"/>
                <w:sz w:val="15"/>
              </w:rPr>
              <w:t>Are audit/CAPA effective?</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Recurrence reduces and closure is verified.</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Actions close on paperwork only.</w:t>
            </w:r>
          </w:p>
        </w:tc>
      </w:tr>
      <w:tr>
        <w:trPr>
          <w:cantSplit/>
        </w:trPr>
        <w:tc>
          <w:tcPr>
            <w:tcW w:type="dxa" w:w="2891"/>
            <w:tcMar>
              <w:top w:w="70" w:type="dxa"/>
              <w:left w:w="80" w:type="dxa"/>
              <w:bottom w:w="70" w:type="dxa"/>
              <w:right w:w="80" w:type="dxa"/>
            </w:tcMar>
            <w:vAlign w:val="top"/>
          </w:tcPr>
          <w:p>
            <w:pPr>
              <w:spacing w:after="0"/>
            </w:pPr>
            <w:r>
              <w:rPr>
                <w:rFonts w:ascii="Cambria" w:hAnsi="Cambria" w:eastAsia="Cambria"/>
                <w:b w:val="0"/>
                <w:i w:val="0"/>
                <w:color w:val="000000"/>
                <w:sz w:val="15"/>
              </w:rPr>
              <w:t>Does management review change priorities?</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Decisions/resources/actions are explicit.</w:t>
            </w:r>
          </w:p>
        </w:tc>
        <w:tc>
          <w:tcPr>
            <w:tcW w:type="dxa" w:w="3231"/>
            <w:tcMar>
              <w:top w:w="70" w:type="dxa"/>
              <w:left w:w="80" w:type="dxa"/>
              <w:bottom w:w="70" w:type="dxa"/>
              <w:right w:w="80" w:type="dxa"/>
            </w:tcMar>
            <w:vAlign w:val="top"/>
          </w:tcPr>
          <w:p>
            <w:pPr>
              <w:spacing w:after="0"/>
            </w:pPr>
            <w:r>
              <w:rPr>
                <w:rFonts w:ascii="Cambria" w:hAnsi="Cambria" w:eastAsia="Cambria"/>
                <w:b w:val="0"/>
                <w:i w:val="0"/>
                <w:color w:val="000000"/>
                <w:sz w:val="15"/>
              </w:rPr>
              <w:t>Review is a compliance presentation only.</w:t>
            </w:r>
          </w:p>
        </w:tc>
      </w:tr>
    </w:tbl>
    <w:p>
      <w:pPr>
        <w:spacing w:after="0"/>
      </w:pPr>
    </w:p>
    <w:p>
      <w:pPr>
        <w:keepNext/>
        <w:spacing w:before="140" w:after="60"/>
      </w:pPr>
      <w:r>
        <w:rPr>
          <w:rFonts w:ascii="Cambria" w:hAnsi="Cambria" w:eastAsia="Cambria"/>
          <w:b/>
          <w:i w:val="0"/>
          <w:color w:val="1F4E79"/>
          <w:sz w:val="24"/>
        </w:rPr>
        <w:t>16. Related Documents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Management Manual</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Policy</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Gap Analysis Guidance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Documented Information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Management Review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Register</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Statement of Applicability</w:t>
      </w:r>
    </w:p>
    <w:p>
      <w:pPr>
        <w:keepNext/>
        <w:spacing w:before="140" w:after="60"/>
      </w:pPr>
      <w:r>
        <w:rPr>
          <w:rFonts w:ascii="Cambria" w:hAnsi="Cambria" w:eastAsia="Cambria"/>
          <w:b/>
          <w:i w:val="0"/>
          <w:color w:val="1F4E79"/>
          <w:sz w:val="24"/>
        </w:rPr>
        <w:t>17.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Information Security Management System Guidance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ISMS-GOV-006</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Management System Guidance</dc:title>
  <dc:subject>Practical guidance for establishing, operating, monitoring, maintaining and improving an ISMS.</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