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60" w:after="40"/>
        <w:jc w:val="center"/>
      </w:pPr>
      <w:r>
        <w:rPr>
          <w:rFonts w:ascii="Cambria" w:hAnsi="Cambria" w:eastAsia="Cambria"/>
          <w:b/>
          <w:i w:val="0"/>
          <w:color w:val="1F4E79"/>
          <w:sz w:val="37"/>
        </w:rPr>
        <w:t>INFORMATION SECURITY MANAGEMENT MANUAL</w:t>
      </w:r>
    </w:p>
    <w:p>
      <w:pPr>
        <w:spacing w:after="100"/>
        <w:jc w:val="center"/>
      </w:pPr>
      <w:r>
        <w:rPr>
          <w:rFonts w:ascii="Cambria" w:hAnsi="Cambria" w:eastAsia="Cambria"/>
          <w:b/>
          <w:i w:val="0"/>
          <w:color w:val="000000"/>
          <w:sz w:val="19"/>
        </w:rPr>
        <w:t>ISO/IEC 27001:2022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Information Security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40" w:after="60"/>
      </w:pPr>
      <w:r>
        <w:rPr>
          <w:rFonts w:ascii="Cambria" w:hAnsi="Cambria" w:eastAsia="Cambria"/>
          <w:b/>
          <w:i w:val="0"/>
          <w:color w:val="1F4E79"/>
          <w:sz w:val="24"/>
        </w:rPr>
        <w:t>1. Purpose</w:t>
      </w:r>
    </w:p>
    <w:p>
      <w:pPr>
        <w:spacing w:after="60" w:line="250" w:lineRule="auto"/>
      </w:pPr>
      <w:r>
        <w:rPr>
          <w:rFonts w:ascii="Cambria" w:hAnsi="Cambria" w:eastAsia="Cambria"/>
          <w:b w:val="0"/>
          <w:i w:val="0"/>
          <w:color w:val="000000"/>
          <w:sz w:val="19"/>
        </w:rPr>
        <w:t>This manual describes the organization’s Information Security Management System (ISMS), its governance, process framework and operating model. It provides a concise reference for employees, management, auditors and other authorized users without duplicating the detailed content of underlying procedures and records.</w:t>
      </w:r>
    </w:p>
    <w:p>
      <w:pPr>
        <w:keepNext/>
        <w:spacing w:before="140" w:after="60"/>
      </w:pPr>
      <w:r>
        <w:rPr>
          <w:rFonts w:ascii="Cambria" w:hAnsi="Cambria" w:eastAsia="Cambria"/>
          <w:b/>
          <w:i w:val="0"/>
          <w:color w:val="1F4E79"/>
          <w:sz w:val="24"/>
        </w:rPr>
        <w:t>2. ISMS Scope</w:t>
      </w:r>
    </w:p>
    <w:p>
      <w:pPr>
        <w:spacing w:after="60" w:line="250" w:lineRule="auto"/>
      </w:pPr>
      <w:r>
        <w:rPr>
          <w:rFonts w:ascii="Cambria" w:hAnsi="Cambria" w:eastAsia="Cambria"/>
          <w:b w:val="0"/>
          <w:i w:val="0"/>
          <w:color w:val="000000"/>
          <w:sz w:val="19"/>
        </w:rPr>
        <w:t>ISMS scope: [DEFINE BUSINESS UNITS, LOCATIONS, PRODUCTS/SERVICES, INFORMATION, TECHNOLOGY AND INTERFACES].</w:t>
      </w:r>
    </w:p>
    <w:p>
      <w:pPr>
        <w:spacing w:after="60" w:line="250" w:lineRule="auto"/>
      </w:pPr>
      <w:r>
        <w:rPr>
          <w:rFonts w:ascii="Cambria" w:hAnsi="Cambria" w:eastAsia="Cambria"/>
          <w:b w:val="0"/>
          <w:i w:val="0"/>
          <w:color w:val="000000"/>
          <w:sz w:val="19"/>
        </w:rPr>
        <w:t>The scope is maintained as controlled documented information. Dependencies and interfaces outside the scope are identified where they could affect achievement of information security objectives or risk treatment.</w:t>
      </w:r>
    </w:p>
    <w:p>
      <w:pPr>
        <w:keepNext/>
        <w:spacing w:before="140" w:after="60"/>
      </w:pPr>
      <w:r>
        <w:rPr>
          <w:rFonts w:ascii="Cambria" w:hAnsi="Cambria" w:eastAsia="Cambria"/>
          <w:b/>
          <w:i w:val="0"/>
          <w:color w:val="1F4E79"/>
          <w:sz w:val="24"/>
        </w:rPr>
        <w:t>3. Organization Context</w:t>
      </w:r>
    </w:p>
    <w:p>
      <w:pPr>
        <w:spacing w:after="60" w:line="250" w:lineRule="auto"/>
      </w:pPr>
      <w:r>
        <w:rPr>
          <w:rFonts w:ascii="Cambria" w:hAnsi="Cambria" w:eastAsia="Cambria"/>
          <w:b w:val="0"/>
          <w:i w:val="0"/>
          <w:color w:val="000000"/>
          <w:sz w:val="19"/>
        </w:rPr>
        <w:t>The organization identifies internal and external issues that can affect intended ISMS outcomes, including business strategy, technology, threat environment, legal/regulatory change, supplier dependencies, workforce arrangements, operational resilience and other relevant conditions.</w:t>
      </w:r>
    </w:p>
    <w:p>
      <w:pPr>
        <w:spacing w:after="60" w:line="250" w:lineRule="auto"/>
      </w:pPr>
      <w:r>
        <w:rPr>
          <w:rFonts w:ascii="Cambria" w:hAnsi="Cambria" w:eastAsia="Cambria"/>
          <w:b w:val="0"/>
          <w:i w:val="0"/>
          <w:color w:val="000000"/>
          <w:sz w:val="19"/>
        </w:rPr>
        <w:t>Climate change is considered in the context review where it is relevant to the ISMS, for example through physical threats, supply-chain disruption, infrastructure resilience, energy availability, facility risks or stakeholder requirements.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Context Input</w:t>
            </w:r>
          </w:p>
        </w:tc>
        <w:tc>
          <w:tcPr>
            <w:tcW w:type="dxa" w:w="6236"/>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Typical Evidence</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Business / strategic change</w:t>
            </w:r>
          </w:p>
        </w:tc>
        <w:tc>
          <w:tcPr>
            <w:tcW w:type="dxa" w:w="6236"/>
            <w:tcMar>
              <w:top w:w="70" w:type="dxa"/>
              <w:left w:w="80" w:type="dxa"/>
              <w:bottom w:w="70" w:type="dxa"/>
              <w:right w:w="80" w:type="dxa"/>
            </w:tcMar>
            <w:vAlign w:val="top"/>
          </w:tcPr>
          <w:p>
            <w:pPr>
              <w:spacing w:after="0"/>
            </w:pPr>
            <w:r>
              <w:rPr>
                <w:rFonts w:ascii="Cambria" w:hAnsi="Cambria" w:eastAsia="Cambria"/>
                <w:b w:val="0"/>
                <w:i w:val="0"/>
                <w:color w:val="000000"/>
                <w:sz w:val="16"/>
              </w:rPr>
              <w:t>Strategy, transformation plans, acquisitions, new services, technology change</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Threat / technology environment</w:t>
            </w:r>
          </w:p>
        </w:tc>
        <w:tc>
          <w:tcPr>
            <w:tcW w:type="dxa" w:w="6236"/>
            <w:tcMar>
              <w:top w:w="70" w:type="dxa"/>
              <w:left w:w="80" w:type="dxa"/>
              <w:bottom w:w="70" w:type="dxa"/>
              <w:right w:w="80" w:type="dxa"/>
            </w:tcMar>
            <w:vAlign w:val="top"/>
          </w:tcPr>
          <w:p>
            <w:pPr>
              <w:spacing w:after="0"/>
            </w:pPr>
            <w:r>
              <w:rPr>
                <w:rFonts w:ascii="Cambria" w:hAnsi="Cambria" w:eastAsia="Cambria"/>
                <w:b w:val="0"/>
                <w:i w:val="0"/>
                <w:color w:val="000000"/>
                <w:sz w:val="16"/>
              </w:rPr>
              <w:t>Threat intelligence, vulnerability trends, architecture changes, cloud/third-party dependencies</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Legal / contractual environment</w:t>
            </w:r>
          </w:p>
        </w:tc>
        <w:tc>
          <w:tcPr>
            <w:tcW w:type="dxa" w:w="6236"/>
            <w:tcMar>
              <w:top w:w="70" w:type="dxa"/>
              <w:left w:w="80" w:type="dxa"/>
              <w:bottom w:w="70" w:type="dxa"/>
              <w:right w:w="80" w:type="dxa"/>
            </w:tcMar>
            <w:vAlign w:val="top"/>
          </w:tcPr>
          <w:p>
            <w:pPr>
              <w:spacing w:after="0"/>
            </w:pPr>
            <w:r>
              <w:rPr>
                <w:rFonts w:ascii="Cambria" w:hAnsi="Cambria" w:eastAsia="Cambria"/>
                <w:b w:val="0"/>
                <w:i w:val="0"/>
                <w:color w:val="000000"/>
                <w:sz w:val="16"/>
              </w:rPr>
              <w:t>Applicable laws, regulations, customer security terms and contractual obligations</w:t>
            </w:r>
          </w:p>
        </w:tc>
      </w:tr>
      <w:tr>
        <w:trPr>
          <w:cantSplit/>
        </w:trPr>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6"/>
              </w:rPr>
              <w:t>Operational / physical environment</w:t>
            </w:r>
          </w:p>
        </w:tc>
        <w:tc>
          <w:tcPr>
            <w:tcW w:type="dxa" w:w="6236"/>
            <w:tcMar>
              <w:top w:w="70" w:type="dxa"/>
              <w:left w:w="80" w:type="dxa"/>
              <w:bottom w:w="70" w:type="dxa"/>
              <w:right w:w="80" w:type="dxa"/>
            </w:tcMar>
            <w:vAlign w:val="top"/>
          </w:tcPr>
          <w:p>
            <w:pPr>
              <w:spacing w:after="0"/>
            </w:pPr>
            <w:r>
              <w:rPr>
                <w:rFonts w:ascii="Cambria" w:hAnsi="Cambria" w:eastAsia="Cambria"/>
                <w:b w:val="0"/>
                <w:i w:val="0"/>
                <w:color w:val="000000"/>
                <w:sz w:val="16"/>
              </w:rPr>
              <w:t>Sites, utilities, remote work, continuity requirements, environmental and climate-related threats where relevant</w:t>
            </w:r>
          </w:p>
        </w:tc>
      </w:tr>
    </w:tbl>
    <w:p>
      <w:pPr>
        <w:spacing w:after="0"/>
      </w:pPr>
    </w:p>
    <w:p>
      <w:pPr>
        <w:keepNext/>
        <w:spacing w:before="140" w:after="60"/>
      </w:pPr>
      <w:r>
        <w:rPr>
          <w:rFonts w:ascii="Cambria" w:hAnsi="Cambria" w:eastAsia="Cambria"/>
          <w:b/>
          <w:i w:val="0"/>
          <w:color w:val="1F4E79"/>
          <w:sz w:val="24"/>
        </w:rPr>
        <w:t>4. Interested Parties</w:t>
      </w:r>
    </w:p>
    <w:p>
      <w:pPr>
        <w:spacing w:after="60" w:line="250" w:lineRule="auto"/>
      </w:pPr>
      <w:r>
        <w:rPr>
          <w:rFonts w:ascii="Cambria" w:hAnsi="Cambria" w:eastAsia="Cambria"/>
          <w:b w:val="0"/>
          <w:i w:val="0"/>
          <w:color w:val="000000"/>
          <w:sz w:val="19"/>
        </w:rPr>
        <w:t>Relevant interested parties are identified together with security-related needs and expectations. These may include customers, regulators, employees, suppliers, service providers, owners, partners, law enforcement and other stakeholders. Requirements are reviewed when significant changes occur or during planned ISMS review activities.</w:t>
      </w:r>
    </w:p>
    <w:p>
      <w:pPr>
        <w:keepNext/>
        <w:spacing w:before="140" w:after="60"/>
      </w:pPr>
      <w:r>
        <w:rPr>
          <w:rFonts w:ascii="Cambria" w:hAnsi="Cambria" w:eastAsia="Cambria"/>
          <w:b/>
          <w:i w:val="0"/>
          <w:color w:val="1F4E79"/>
          <w:sz w:val="24"/>
        </w:rPr>
        <w:t>5. ISMS Process Framework</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243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Process Family</w:t>
            </w:r>
          </w:p>
        </w:tc>
        <w:tc>
          <w:tcPr>
            <w:tcW w:type="dxa" w:w="3969"/>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Purpose</w:t>
            </w:r>
          </w:p>
        </w:tc>
        <w:tc>
          <w:tcPr>
            <w:tcW w:type="dxa" w:w="294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Core Outputs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Management &amp; Governance</w:t>
            </w:r>
          </w:p>
        </w:tc>
        <w:tc>
          <w:tcPr>
            <w:tcW w:type="dxa" w:w="3969"/>
            <w:tcMar>
              <w:top w:w="70" w:type="dxa"/>
              <w:left w:w="80" w:type="dxa"/>
              <w:bottom w:w="70" w:type="dxa"/>
              <w:right w:w="80" w:type="dxa"/>
            </w:tcMar>
            <w:vAlign w:val="top"/>
          </w:tcPr>
          <w:p>
            <w:pPr>
              <w:spacing w:after="0"/>
            </w:pPr>
            <w:r>
              <w:rPr>
                <w:rFonts w:ascii="Cambria" w:hAnsi="Cambria" w:eastAsia="Cambria"/>
                <w:b w:val="0"/>
                <w:i w:val="0"/>
                <w:color w:val="000000"/>
                <w:sz w:val="16"/>
              </w:rPr>
              <w:t>Set direction, policy, objectives, roles, resources and review arrangements.</w:t>
            </w:r>
          </w:p>
        </w:tc>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Policy, objectives, decisions, resources, actions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Risk Management</w:t>
            </w:r>
          </w:p>
        </w:tc>
        <w:tc>
          <w:tcPr>
            <w:tcW w:type="dxa" w:w="3969"/>
            <w:tcMar>
              <w:top w:w="70" w:type="dxa"/>
              <w:left w:w="80" w:type="dxa"/>
              <w:bottom w:w="70" w:type="dxa"/>
              <w:right w:w="80" w:type="dxa"/>
            </w:tcMar>
            <w:vAlign w:val="top"/>
          </w:tcPr>
          <w:p>
            <w:pPr>
              <w:spacing w:after="0"/>
            </w:pPr>
            <w:r>
              <w:rPr>
                <w:rFonts w:ascii="Cambria" w:hAnsi="Cambria" w:eastAsia="Cambria"/>
                <w:b w:val="0"/>
                <w:i w:val="0"/>
                <w:color w:val="000000"/>
                <w:sz w:val="16"/>
              </w:rPr>
              <w:t>Identify, assess, treat and monitor information security risks.</w:t>
            </w:r>
          </w:p>
        </w:tc>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Risk register, SoA, treatment plan, residual risk decisions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Operational Security</w:t>
            </w:r>
          </w:p>
        </w:tc>
        <w:tc>
          <w:tcPr>
            <w:tcW w:type="dxa" w:w="3969"/>
            <w:tcMar>
              <w:top w:w="70" w:type="dxa"/>
              <w:left w:w="80" w:type="dxa"/>
              <w:bottom w:w="70" w:type="dxa"/>
              <w:right w:w="80" w:type="dxa"/>
            </w:tcMar>
            <w:vAlign w:val="top"/>
          </w:tcPr>
          <w:p>
            <w:pPr>
              <w:spacing w:after="0"/>
            </w:pPr>
            <w:r>
              <w:rPr>
                <w:rFonts w:ascii="Cambria" w:hAnsi="Cambria" w:eastAsia="Cambria"/>
                <w:b w:val="0"/>
                <w:i w:val="0"/>
                <w:color w:val="000000"/>
                <w:sz w:val="16"/>
              </w:rPr>
              <w:t>Implement and operate organizational, people, physical and technological controls.</w:t>
            </w:r>
          </w:p>
        </w:tc>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Operating control evidence</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Performance Evaluation</w:t>
            </w:r>
          </w:p>
        </w:tc>
        <w:tc>
          <w:tcPr>
            <w:tcW w:type="dxa" w:w="3969"/>
            <w:tcMar>
              <w:top w:w="70" w:type="dxa"/>
              <w:left w:w="80" w:type="dxa"/>
              <w:bottom w:w="70" w:type="dxa"/>
              <w:right w:w="80" w:type="dxa"/>
            </w:tcMar>
            <w:vAlign w:val="top"/>
          </w:tcPr>
          <w:p>
            <w:pPr>
              <w:spacing w:after="0"/>
            </w:pPr>
            <w:r>
              <w:rPr>
                <w:rFonts w:ascii="Cambria" w:hAnsi="Cambria" w:eastAsia="Cambria"/>
                <w:b w:val="0"/>
                <w:i w:val="0"/>
                <w:color w:val="000000"/>
                <w:sz w:val="16"/>
              </w:rPr>
              <w:t>Monitor objectives/controls, audit the ISMS and review performance.</w:t>
            </w:r>
          </w:p>
        </w:tc>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KPIs, audit results, management review</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Improvement</w:t>
            </w:r>
          </w:p>
        </w:tc>
        <w:tc>
          <w:tcPr>
            <w:tcW w:type="dxa" w:w="3969"/>
            <w:tcMar>
              <w:top w:w="70" w:type="dxa"/>
              <w:left w:w="80" w:type="dxa"/>
              <w:bottom w:w="70" w:type="dxa"/>
              <w:right w:w="80" w:type="dxa"/>
            </w:tcMar>
            <w:vAlign w:val="top"/>
          </w:tcPr>
          <w:p>
            <w:pPr>
              <w:spacing w:after="0"/>
            </w:pPr>
            <w:r>
              <w:rPr>
                <w:rFonts w:ascii="Cambria" w:hAnsi="Cambria" w:eastAsia="Cambria"/>
                <w:b w:val="0"/>
                <w:i w:val="0"/>
                <w:color w:val="000000"/>
                <w:sz w:val="16"/>
              </w:rPr>
              <w:t>Correct nonconformity, remove causes and improve suitability, adequacy and effectiveness.</w:t>
            </w:r>
          </w:p>
        </w:tc>
        <w:tc>
          <w:tcPr>
            <w:tcW w:type="dxa" w:w="2948"/>
            <w:tcMar>
              <w:top w:w="70" w:type="dxa"/>
              <w:left w:w="80" w:type="dxa"/>
              <w:bottom w:w="70" w:type="dxa"/>
              <w:right w:w="80" w:type="dxa"/>
            </w:tcMar>
            <w:vAlign w:val="top"/>
          </w:tcPr>
          <w:p>
            <w:pPr>
              <w:spacing w:after="0"/>
            </w:pPr>
            <w:r>
              <w:rPr>
                <w:rFonts w:ascii="Cambria" w:hAnsi="Cambria" w:eastAsia="Cambria"/>
                <w:b w:val="0"/>
                <w:i w:val="0"/>
                <w:color w:val="000000"/>
                <w:sz w:val="16"/>
              </w:rPr>
              <w:t>Corrective actions and improvement records</w:t>
            </w:r>
          </w:p>
        </w:tc>
      </w:tr>
    </w:tbl>
    <w:p>
      <w:pPr>
        <w:spacing w:after="0"/>
      </w:pPr>
    </w:p>
    <w:p>
      <w:pPr>
        <w:keepNext/>
        <w:spacing w:before="140" w:after="60"/>
      </w:pPr>
      <w:r>
        <w:rPr>
          <w:rFonts w:ascii="Cambria" w:hAnsi="Cambria" w:eastAsia="Cambria"/>
          <w:b/>
          <w:i w:val="0"/>
          <w:color w:val="1F4E79"/>
          <w:sz w:val="24"/>
        </w:rPr>
        <w:t>6. Leadership and Information Security Policy</w:t>
      </w:r>
    </w:p>
    <w:p>
      <w:pPr>
        <w:spacing w:after="60" w:line="250" w:lineRule="auto"/>
      </w:pPr>
      <w:r>
        <w:rPr>
          <w:rFonts w:ascii="Cambria" w:hAnsi="Cambria" w:eastAsia="Cambria"/>
          <w:b w:val="0"/>
          <w:i w:val="0"/>
          <w:color w:val="000000"/>
          <w:sz w:val="19"/>
        </w:rPr>
        <w:t>Top management provides ISMS direction, integrates information security into relevant organizational processes, ensures resources are available, communicates the importance of effective information security management and reviews ISMS performance. The Information Security Policy establishes the high-level commitments and is supported by topic-specific policies, standards and procedures where needed.</w:t>
      </w:r>
    </w:p>
    <w:p>
      <w:pPr>
        <w:keepNext/>
        <w:spacing w:before="140" w:after="60"/>
      </w:pPr>
      <w:r>
        <w:rPr>
          <w:rFonts w:ascii="Cambria" w:hAnsi="Cambria" w:eastAsia="Cambria"/>
          <w:b/>
          <w:i w:val="0"/>
          <w:color w:val="1F4E79"/>
          <w:sz w:val="24"/>
        </w:rPr>
        <w:t>7. Roles and Responsibilities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3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Role</w:t>
            </w:r>
          </w:p>
        </w:tc>
        <w:tc>
          <w:tcPr>
            <w:tcW w:type="dxa" w:w="691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Key Responsibilities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Top Management</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Approve ISMS direction, policy, scope, risk acceptance where assigned, objectives, resources and management-review decisions.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Information Security Manager</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Coordinate ISMS operation, risk-management framework, monitoring, audits, reporting and improvement.</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Risk Owners</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Own risk decisions, approve treatment within authority and accept residual risk where authorized.</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Control / Process Owners</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Implement, operate, monitor and evidence assigned controls/processes.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Managers</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Ensure personnel understand and follow applicable security requirements and escalate issues.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All Personnel</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Follow security requirements, protect information, complete required training and report events/incidents promptly.</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Internal Auditors</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Conduct objective, evidence-based audits and report conclusions independently from audited work where practical.</w:t>
            </w:r>
          </w:p>
        </w:tc>
      </w:tr>
    </w:tbl>
    <w:p>
      <w:pPr>
        <w:spacing w:after="0"/>
      </w:pPr>
    </w:p>
    <w:p>
      <w:pPr>
        <w:keepNext/>
        <w:spacing w:before="140" w:after="60"/>
      </w:pPr>
      <w:r>
        <w:rPr>
          <w:rFonts w:ascii="Cambria" w:hAnsi="Cambria" w:eastAsia="Cambria"/>
          <w:b/>
          <w:i w:val="0"/>
          <w:color w:val="1F4E79"/>
          <w:sz w:val="24"/>
        </w:rPr>
        <w:t>8. Risk-Based Management</w:t>
      </w:r>
    </w:p>
    <w:p>
      <w:pPr>
        <w:spacing w:after="60" w:line="250" w:lineRule="auto"/>
      </w:pPr>
      <w:r>
        <w:rPr>
          <w:rFonts w:ascii="Cambria" w:hAnsi="Cambria" w:eastAsia="Cambria"/>
          <w:b w:val="0"/>
          <w:i w:val="0"/>
          <w:color w:val="000000"/>
          <w:sz w:val="19"/>
        </w:rPr>
        <w:t>The organization uses a defined risk assessment and treatment method to identify information security risks, evaluate risk against approved criteria, select treatment options and maintain risk ownership. Assessments are performed at planned intervals and when significant changes can affect the ISMS.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7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Risk Management Record</w:t>
            </w:r>
          </w:p>
        </w:tc>
        <w:tc>
          <w:tcPr>
            <w:tcW w:type="dxa" w:w="6576"/>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Purpose</w:t>
            </w:r>
          </w:p>
        </w:tc>
      </w:tr>
      <w:tr>
        <w:trPr>
          <w:cantSplit/>
        </w:trPr>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6"/>
              </w:rPr>
              <w:t>Risk Assessment Method</w:t>
            </w:r>
          </w:p>
        </w:tc>
        <w:tc>
          <w:tcPr>
            <w:tcW w:type="dxa" w:w="6576"/>
            <w:tcMar>
              <w:top w:w="70" w:type="dxa"/>
              <w:left w:w="80" w:type="dxa"/>
              <w:bottom w:w="70" w:type="dxa"/>
              <w:right w:w="80" w:type="dxa"/>
            </w:tcMar>
            <w:vAlign w:val="top"/>
          </w:tcPr>
          <w:p>
            <w:pPr>
              <w:spacing w:after="0"/>
            </w:pPr>
            <w:r>
              <w:rPr>
                <w:rFonts w:ascii="Cambria" w:hAnsi="Cambria" w:eastAsia="Cambria"/>
                <w:b w:val="0"/>
                <w:i w:val="0"/>
                <w:color w:val="000000"/>
                <w:sz w:val="16"/>
              </w:rPr>
              <w:t>Defines likelihood/impact approach, risk criteria, acceptance criteria and evaluation rules.</w:t>
            </w:r>
          </w:p>
        </w:tc>
      </w:tr>
      <w:tr>
        <w:trPr>
          <w:cantSplit/>
        </w:trPr>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6"/>
              </w:rPr>
              <w:t>Risk Register</w:t>
            </w:r>
          </w:p>
        </w:tc>
        <w:tc>
          <w:tcPr>
            <w:tcW w:type="dxa" w:w="6576"/>
            <w:tcMar>
              <w:top w:w="70" w:type="dxa"/>
              <w:left w:w="80" w:type="dxa"/>
              <w:bottom w:w="70" w:type="dxa"/>
              <w:right w:w="80" w:type="dxa"/>
            </w:tcMar>
            <w:vAlign w:val="top"/>
          </w:tcPr>
          <w:p>
            <w:pPr>
              <w:spacing w:after="0"/>
            </w:pPr>
            <w:r>
              <w:rPr>
                <w:rFonts w:ascii="Cambria" w:hAnsi="Cambria" w:eastAsia="Cambria"/>
                <w:b w:val="0"/>
                <w:i w:val="0"/>
                <w:color w:val="000000"/>
                <w:sz w:val="16"/>
              </w:rPr>
              <w:t>Records risks, owners, ratings, existing controls, treatment decisions and residual risk.</w:t>
            </w:r>
          </w:p>
        </w:tc>
      </w:tr>
      <w:tr>
        <w:trPr>
          <w:cantSplit/>
        </w:trPr>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6"/>
              </w:rPr>
              <w:t>Statement of Applicability</w:t>
            </w:r>
          </w:p>
        </w:tc>
        <w:tc>
          <w:tcPr>
            <w:tcW w:type="dxa" w:w="6576"/>
            <w:tcMar>
              <w:top w:w="70" w:type="dxa"/>
              <w:left w:w="80" w:type="dxa"/>
              <w:bottom w:w="70" w:type="dxa"/>
              <w:right w:w="80" w:type="dxa"/>
            </w:tcMar>
            <w:vAlign w:val="top"/>
          </w:tcPr>
          <w:p>
            <w:pPr>
              <w:spacing w:after="0"/>
            </w:pPr>
            <w:r>
              <w:rPr>
                <w:rFonts w:ascii="Cambria" w:hAnsi="Cambria" w:eastAsia="Cambria"/>
                <w:b w:val="0"/>
                <w:i w:val="0"/>
                <w:color w:val="000000"/>
                <w:sz w:val="16"/>
              </w:rPr>
              <w:t>Records relevant control applicability, justification and implementation status.</w:t>
            </w:r>
          </w:p>
        </w:tc>
      </w:tr>
      <w:tr>
        <w:trPr>
          <w:cantSplit/>
        </w:trPr>
        <w:tc>
          <w:tcPr>
            <w:tcW w:type="dxa" w:w="2778"/>
            <w:tcMar>
              <w:top w:w="70" w:type="dxa"/>
              <w:left w:w="80" w:type="dxa"/>
              <w:bottom w:w="70" w:type="dxa"/>
              <w:right w:w="80" w:type="dxa"/>
            </w:tcMar>
            <w:vAlign w:val="top"/>
          </w:tcPr>
          <w:p>
            <w:pPr>
              <w:spacing w:after="0"/>
            </w:pPr>
            <w:r>
              <w:rPr>
                <w:rFonts w:ascii="Cambria" w:hAnsi="Cambria" w:eastAsia="Cambria"/>
                <w:b w:val="0"/>
                <w:i w:val="0"/>
                <w:color w:val="000000"/>
                <w:sz w:val="16"/>
              </w:rPr>
              <w:t>Risk Treatment Plan</w:t>
            </w:r>
          </w:p>
        </w:tc>
        <w:tc>
          <w:tcPr>
            <w:tcW w:type="dxa" w:w="6576"/>
            <w:tcMar>
              <w:top w:w="70" w:type="dxa"/>
              <w:left w:w="80" w:type="dxa"/>
              <w:bottom w:w="70" w:type="dxa"/>
              <w:right w:w="80" w:type="dxa"/>
            </w:tcMar>
            <w:vAlign w:val="top"/>
          </w:tcPr>
          <w:p>
            <w:pPr>
              <w:spacing w:after="0"/>
            </w:pPr>
            <w:r>
              <w:rPr>
                <w:rFonts w:ascii="Cambria" w:hAnsi="Cambria" w:eastAsia="Cambria"/>
                <w:b w:val="0"/>
                <w:i w:val="0"/>
                <w:color w:val="000000"/>
                <w:sz w:val="16"/>
              </w:rPr>
              <w:t>Tracks treatment actions, owners, resources, target dates and implementation evidence.</w:t>
            </w:r>
          </w:p>
        </w:tc>
      </w:tr>
    </w:tbl>
    <w:p>
      <w:pPr>
        <w:spacing w:after="0"/>
      </w:pPr>
    </w:p>
    <w:p>
      <w:pPr>
        <w:keepNext/>
        <w:spacing w:before="140" w:after="60"/>
      </w:pPr>
      <w:r>
        <w:rPr>
          <w:rFonts w:ascii="Cambria" w:hAnsi="Cambria" w:eastAsia="Cambria"/>
          <w:b/>
          <w:i w:val="0"/>
          <w:color w:val="1F4E79"/>
          <w:sz w:val="24"/>
        </w:rPr>
        <w:t>9. Information Security Objectives</w:t>
      </w:r>
    </w:p>
    <w:p>
      <w:pPr>
        <w:spacing w:after="60" w:line="250" w:lineRule="auto"/>
      </w:pPr>
      <w:r>
        <w:rPr>
          <w:rFonts w:ascii="Cambria" w:hAnsi="Cambria" w:eastAsia="Cambria"/>
          <w:b w:val="0"/>
          <w:i w:val="0"/>
          <w:color w:val="000000"/>
          <w:sz w:val="19"/>
        </w:rPr>
        <w:t>Objectives are established at relevant functions and levels. They are measurable where practicable, aligned with policy and risk priorities, assigned to owners and supported by plans describing actions, resources, timing and evaluation. Performance is reviewed through routine monitoring and management review.</w:t>
      </w:r>
    </w:p>
    <w:p>
      <w:pPr>
        <w:keepNext/>
        <w:spacing w:before="140" w:after="60"/>
      </w:pPr>
      <w:r>
        <w:rPr>
          <w:rFonts w:ascii="Cambria" w:hAnsi="Cambria" w:eastAsia="Cambria"/>
          <w:b/>
          <w:i w:val="0"/>
          <w:color w:val="1F4E79"/>
          <w:sz w:val="24"/>
        </w:rPr>
        <w:t>10. Support</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2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Support Area</w:t>
            </w:r>
          </w:p>
        </w:tc>
        <w:tc>
          <w:tcPr>
            <w:tcW w:type="dxa" w:w="703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ISMS Arrangement</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Resources</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People, budget, tools, services and infrastructure are provided according to ISMS needs and risk.</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Competence</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Security-relevant competence needs are identified; training, experience or other actions are used to achieve competence and evidence is retained.</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Awareness</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Personnel receive appropriate security awareness on policy, responsibilities, reporting and consequences of noncompliance.</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Communication</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Internal/external communication requirements are defined, including security incidents, customer/regulator communication and supplier coordination.</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Documented Information</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ISMS documents and records are created, approved, protected, accessible, changed, retained and disposed under controlled arrangements.</w:t>
            </w:r>
          </w:p>
        </w:tc>
      </w:tr>
    </w:tbl>
    <w:p>
      <w:pPr>
        <w:spacing w:after="0"/>
      </w:pPr>
    </w:p>
    <w:p>
      <w:pPr>
        <w:keepNext/>
        <w:spacing w:before="140" w:after="60"/>
      </w:pPr>
      <w:r>
        <w:rPr>
          <w:rFonts w:ascii="Cambria" w:hAnsi="Cambria" w:eastAsia="Cambria"/>
          <w:b/>
          <w:i w:val="0"/>
          <w:color w:val="1F4E79"/>
          <w:sz w:val="24"/>
        </w:rPr>
        <w:t>11. Operational Framework</w:t>
      </w:r>
    </w:p>
    <w:p>
      <w:pPr>
        <w:spacing w:after="60" w:line="250" w:lineRule="auto"/>
      </w:pPr>
      <w:r>
        <w:rPr>
          <w:rFonts w:ascii="Cambria" w:hAnsi="Cambria" w:eastAsia="Cambria"/>
          <w:b w:val="0"/>
          <w:i w:val="0"/>
          <w:color w:val="000000"/>
          <w:sz w:val="19"/>
        </w:rPr>
        <w:t>Security controls are selected and implemented based on risk treatment, legal/contractual obligations and business requirements. The organization may organize controls using the ISO/IEC 27001 Annex A domains as a practical reference.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Control Domain</w:t>
            </w:r>
          </w:p>
        </w:tc>
        <w:tc>
          <w:tcPr>
            <w:tcW w:type="dxa" w:w="697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Typical Operating Focus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Organizational</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Governance, assets/information, acceptable use, access governance, suppliers, incidents, continuity and compliance.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People</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Screening, employment responsibilities, awareness/training, remote work, disciplinary and termination/change controls.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Physical</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Secure areas, entry controls, environmental threats, equipment protection, media handling and disposal.</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Technological</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Endpoints, identity/authentication, vulnerability/configuration, data protection, backup, logging/monitoring, networks and secure development.</w:t>
            </w:r>
          </w:p>
        </w:tc>
      </w:tr>
    </w:tbl>
    <w:p>
      <w:pPr>
        <w:spacing w:after="0"/>
      </w:pPr>
    </w:p>
    <w:p>
      <w:pPr>
        <w:spacing w:after="60" w:line="250" w:lineRule="auto"/>
      </w:pPr>
      <w:r>
        <w:rPr>
          <w:rFonts w:ascii="Cambria" w:hAnsi="Cambria" w:eastAsia="Cambria"/>
          <w:b w:val="0"/>
          <w:i w:val="0"/>
          <w:color w:val="000000"/>
          <w:sz w:val="19"/>
        </w:rPr>
        <w:t>Control implementation is evidenced through procedures, technical configurations, system records, approvals, logs, reviews, tickets, training records, incident records and other objective evidence appropriate to the control.</w:t>
      </w:r>
    </w:p>
    <w:p>
      <w:pPr>
        <w:keepNext/>
        <w:spacing w:before="140" w:after="60"/>
      </w:pPr>
      <w:r>
        <w:rPr>
          <w:rFonts w:ascii="Cambria" w:hAnsi="Cambria" w:eastAsia="Cambria"/>
          <w:b/>
          <w:i w:val="0"/>
          <w:color w:val="1F4E79"/>
          <w:sz w:val="24"/>
        </w:rPr>
        <w:t>12. Operational Planning and Change</w:t>
      </w:r>
    </w:p>
    <w:p>
      <w:pPr>
        <w:spacing w:after="60" w:line="250" w:lineRule="auto"/>
      </w:pPr>
      <w:r>
        <w:rPr>
          <w:rFonts w:ascii="Cambria" w:hAnsi="Cambria" w:eastAsia="Cambria"/>
          <w:b w:val="0"/>
          <w:i w:val="0"/>
          <w:color w:val="000000"/>
          <w:sz w:val="19"/>
        </w:rPr>
        <w:t>Operational activities needed for the ISMS are planned and controlled. Security-relevant changes are reviewed for risk and requirements before implementation where practicable. Unplanned changes or deviations are assessed and controlled to limit adverse effects.</w:t>
      </w:r>
    </w:p>
    <w:p>
      <w:pPr>
        <w:keepNext/>
        <w:spacing w:before="140" w:after="60"/>
      </w:pPr>
      <w:r>
        <w:rPr>
          <w:rFonts w:ascii="Cambria" w:hAnsi="Cambria" w:eastAsia="Cambria"/>
          <w:b/>
          <w:i w:val="0"/>
          <w:color w:val="1F4E79"/>
          <w:sz w:val="24"/>
        </w:rPr>
        <w:t>13. Performance Evaluation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2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Activity</w:t>
            </w:r>
          </w:p>
        </w:tc>
        <w:tc>
          <w:tcPr>
            <w:tcW w:type="dxa" w:w="663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Purpose / Output</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Monitoring and Measurement</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Evaluate objective achievement, control performance, incidents, vulnerabilities, supplier/security performance and other defined indicators.</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Analysis and Evaluation</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Identify trends, exceptions, recurring weaknesses and improvement needs.</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Internal Audit</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Provide objective evidence on ISMS conformity and effective implementation.</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Management Review</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Evaluate suitability, adequacy, effectiveness, change, resource needs, risks and improvement priorities.</w:t>
            </w:r>
          </w:p>
        </w:tc>
      </w:tr>
    </w:tbl>
    <w:p>
      <w:pPr>
        <w:spacing w:after="0"/>
      </w:pPr>
    </w:p>
    <w:p>
      <w:pPr>
        <w:keepNext/>
        <w:spacing w:before="140" w:after="60"/>
      </w:pPr>
      <w:r>
        <w:rPr>
          <w:rFonts w:ascii="Cambria" w:hAnsi="Cambria" w:eastAsia="Cambria"/>
          <w:b/>
          <w:i w:val="0"/>
          <w:color w:val="1F4E79"/>
          <w:sz w:val="24"/>
        </w:rPr>
        <w:t>14. Internal Audit</w:t>
      </w:r>
    </w:p>
    <w:p>
      <w:pPr>
        <w:spacing w:after="60" w:line="250" w:lineRule="auto"/>
      </w:pPr>
      <w:r>
        <w:rPr>
          <w:rFonts w:ascii="Cambria" w:hAnsi="Cambria" w:eastAsia="Cambria"/>
          <w:b w:val="0"/>
          <w:i w:val="0"/>
          <w:color w:val="000000"/>
          <w:sz w:val="19"/>
        </w:rPr>
        <w:t>Internal audits are planned using process importance, risk, change and previous results. Auditors apply evidence-based methods, protect confidentiality, report findings clearly and maintain objectivity. The Internal Information Security Audit Procedure defines detailed arrangements.</w:t>
      </w:r>
    </w:p>
    <w:p>
      <w:pPr>
        <w:keepNext/>
        <w:spacing w:before="140" w:after="60"/>
      </w:pPr>
      <w:r>
        <w:rPr>
          <w:rFonts w:ascii="Cambria" w:hAnsi="Cambria" w:eastAsia="Cambria"/>
          <w:b/>
          <w:i w:val="0"/>
          <w:color w:val="1F4E79"/>
          <w:sz w:val="24"/>
        </w:rPr>
        <w:t>15. Management Review</w:t>
      </w:r>
    </w:p>
    <w:p>
      <w:pPr>
        <w:spacing w:after="60" w:line="250" w:lineRule="auto"/>
      </w:pPr>
      <w:r>
        <w:rPr>
          <w:rFonts w:ascii="Cambria" w:hAnsi="Cambria" w:eastAsia="Cambria"/>
          <w:b w:val="0"/>
          <w:i w:val="0"/>
          <w:color w:val="000000"/>
          <w:sz w:val="19"/>
        </w:rPr>
        <w:t>Top management reviews the ISMS at planned intervals using relevant performance, audit, incident, risk, objective, stakeholder, change, supplier, resource and improvement information. Outputs include decisions and actions on improvement, ISMS changes and resource needs.</w:t>
      </w:r>
    </w:p>
    <w:p>
      <w:pPr>
        <w:keepNext/>
        <w:spacing w:before="140" w:after="60"/>
      </w:pPr>
      <w:r>
        <w:rPr>
          <w:rFonts w:ascii="Cambria" w:hAnsi="Cambria" w:eastAsia="Cambria"/>
          <w:b/>
          <w:i w:val="0"/>
          <w:color w:val="1F4E79"/>
          <w:sz w:val="24"/>
        </w:rPr>
        <w:t>16. Improvement</w:t>
      </w:r>
    </w:p>
    <w:p>
      <w:pPr>
        <w:spacing w:after="60" w:line="250" w:lineRule="auto"/>
      </w:pPr>
      <w:r>
        <w:rPr>
          <w:rFonts w:ascii="Cambria" w:hAnsi="Cambria" w:eastAsia="Cambria"/>
          <w:b w:val="0"/>
          <w:i w:val="0"/>
          <w:color w:val="000000"/>
          <w:sz w:val="19"/>
        </w:rPr>
        <w:t>Nonconformities are corrected and their causes evaluated to determine appropriate corrective action. Action effectiveness is verified before closure where appropriate. Improvement opportunities may arise from risk reviews, monitoring, audit, incidents, management review, technology change, lessons learned and stakeholder feedback.</w:t>
      </w:r>
    </w:p>
    <w:p>
      <w:pPr>
        <w:keepNext/>
        <w:spacing w:before="140" w:after="60"/>
      </w:pPr>
      <w:r>
        <w:rPr>
          <w:rFonts w:ascii="Cambria" w:hAnsi="Cambria" w:eastAsia="Cambria"/>
          <w:b/>
          <w:i w:val="0"/>
          <w:color w:val="1F4E79"/>
          <w:sz w:val="24"/>
        </w:rPr>
        <w:t>17. ISMS Document Structure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2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Level</w:t>
            </w:r>
          </w:p>
        </w:tc>
        <w:tc>
          <w:tcPr>
            <w:tcW w:type="dxa" w:w="703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Typical Information</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Direction</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Information Security Policy, scope and management-system manual.</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Governance / Method</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Risk method, procedures, standards and guidance.</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Planning / Control</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SoA, risk treatment plan, objectives, audit programme, awareness plan and action plans.</w:t>
            </w:r>
          </w:p>
        </w:tc>
      </w:tr>
      <w:tr>
        <w:trPr>
          <w:cantSplit/>
        </w:trPr>
        <w:tc>
          <w:tcPr>
            <w:tcW w:type="dxa" w:w="2324"/>
            <w:tcMar>
              <w:top w:w="70" w:type="dxa"/>
              <w:left w:w="80" w:type="dxa"/>
              <w:bottom w:w="70" w:type="dxa"/>
              <w:right w:w="80" w:type="dxa"/>
            </w:tcMar>
            <w:vAlign w:val="top"/>
          </w:tcPr>
          <w:p>
            <w:pPr>
              <w:spacing w:after="0"/>
            </w:pPr>
            <w:r>
              <w:rPr>
                <w:rFonts w:ascii="Cambria" w:hAnsi="Cambria" w:eastAsia="Cambria"/>
                <w:b w:val="0"/>
                <w:i w:val="0"/>
                <w:color w:val="000000"/>
                <w:sz w:val="16"/>
              </w:rPr>
              <w:t>Operational Evidence</w:t>
            </w:r>
          </w:p>
        </w:tc>
        <w:tc>
          <w:tcPr>
            <w:tcW w:type="dxa" w:w="7030"/>
            <w:tcMar>
              <w:top w:w="70" w:type="dxa"/>
              <w:left w:w="80" w:type="dxa"/>
              <w:bottom w:w="70" w:type="dxa"/>
              <w:right w:w="80" w:type="dxa"/>
            </w:tcMar>
            <w:vAlign w:val="top"/>
          </w:tcPr>
          <w:p>
            <w:pPr>
              <w:spacing w:after="0"/>
            </w:pPr>
            <w:r>
              <w:rPr>
                <w:rFonts w:ascii="Cambria" w:hAnsi="Cambria" w:eastAsia="Cambria"/>
                <w:b w:val="0"/>
                <w:i w:val="0"/>
                <w:color w:val="000000"/>
                <w:sz w:val="16"/>
              </w:rPr>
              <w:t>Registers, logs, tickets, reports, review records, approvals and technical evidence.</w:t>
            </w:r>
          </w:p>
        </w:tc>
      </w:tr>
    </w:tbl>
    <w:p>
      <w:pPr>
        <w:spacing w:after="0"/>
      </w:pPr>
    </w:p>
    <w:p>
      <w:pPr>
        <w:keepNext/>
        <w:spacing w:before="140" w:after="60"/>
      </w:pPr>
      <w:r>
        <w:rPr>
          <w:rFonts w:ascii="Cambria" w:hAnsi="Cambria" w:eastAsia="Cambria"/>
          <w:b/>
          <w:i w:val="0"/>
          <w:color w:val="1F4E79"/>
          <w:sz w:val="24"/>
        </w:rPr>
        <w:t>18. Related Documents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Policy</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Risk Assessment &amp; Treatment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Statement of Applicability</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Risk Treatment Plan</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Internal Information Security Audit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Management Review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Corrective Action Procedure</w:t>
      </w:r>
    </w:p>
    <w:p>
      <w:pPr>
        <w:keepNext/>
        <w:spacing w:before="140" w:after="60"/>
      </w:pPr>
      <w:r>
        <w:rPr>
          <w:rFonts w:ascii="Cambria" w:hAnsi="Cambria" w:eastAsia="Cambria"/>
          <w:b/>
          <w:i w:val="0"/>
          <w:color w:val="1F4E79"/>
          <w:sz w:val="24"/>
        </w:rPr>
        <w:t>19. 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Role</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Name / Position</w:t>
            </w:r>
          </w:p>
        </w:tc>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Approval / Signature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Prepared / Maintained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Information Security Manager</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Reviewed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[REVIEWER / FUNCTION]</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Approved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Top Management</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bl>
    <w:p>
      <w:pPr>
        <w:spacing w:after="0"/>
      </w:pPr>
    </w:p>
    <w:p>
      <w:pPr>
        <w:keepNext/>
        <w:spacing w:before="80" w:after="6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t>1.0</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7"/>
              </w:rPr>
              <w:t>2026-09-18</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9"/>
            </w:rPr>
            <w:t>Information Security Management Manual</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5"/>
            </w:rPr>
            <w:t>ISMS-MAN-001</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Management Manual</dc:title>
  <dc:subject>Practical ISMS manual describing scope, governance, risk-based operation, performance evaluation and improvement.</dc:subject>
  <dc:creator>ISO Toolkits</dc:creator>
  <cp:keywords>ISO/IEC 27001:2022, Amendment 1:2024, ISMS, information security</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