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60" w:after="40"/>
        <w:jc w:val="center"/>
      </w:pPr>
      <w:r>
        <w:rPr>
          <w:rFonts w:ascii="Cambria" w:hAnsi="Cambria" w:eastAsia="Cambria"/>
          <w:b/>
          <w:i w:val="0"/>
          <w:color w:val="1F4E79"/>
          <w:sz w:val="37"/>
        </w:rPr>
        <w:t>INFORMATION SECURITY GAP ANALYSIS GUIDANCE</w:t>
      </w:r>
    </w:p>
    <w:p>
      <w:pPr>
        <w:spacing w:after="100"/>
        <w:jc w:val="center"/>
      </w:pPr>
      <w:r>
        <w:rPr>
          <w:rFonts w:ascii="Cambria" w:hAnsi="Cambria" w:eastAsia="Cambria"/>
          <w:b/>
          <w:i w:val="0"/>
          <w:color w:val="000000"/>
          <w:sz w:val="19"/>
        </w:rPr>
        <w:t>ISO/IEC 27001:2022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Information Security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40" w:after="60"/>
      </w:pPr>
      <w:r>
        <w:rPr>
          <w:rFonts w:ascii="Cambria" w:hAnsi="Cambria" w:eastAsia="Cambria"/>
          <w:b/>
          <w:i w:val="0"/>
          <w:color w:val="1F4E79"/>
          <w:sz w:val="24"/>
        </w:rPr>
        <w:t>1. Purpose and Use</w:t>
      </w:r>
    </w:p>
    <w:p>
      <w:pPr>
        <w:spacing w:after="60" w:line="250" w:lineRule="auto"/>
      </w:pPr>
      <w:r>
        <w:rPr>
          <w:rFonts w:ascii="Cambria" w:hAnsi="Cambria" w:eastAsia="Cambria"/>
          <w:b w:val="0"/>
          <w:i w:val="0"/>
          <w:color w:val="000000"/>
          <w:sz w:val="19"/>
        </w:rPr>
        <w:t>Use this guidance to assess the organization’s current information security management arrangements against the ISMS baseline, document evidence, identify gaps and convert material gaps into prioritized actions. It is designed to be used with the Information Security Gap Analysis and Gap Analysis Action Plan workbooks.</w:t>
      </w:r>
    </w:p>
    <w:p>
      <w:pPr>
        <w:spacing w:after="60" w:line="250" w:lineRule="auto"/>
      </w:pPr>
      <w:r>
        <w:rPr>
          <w:rFonts w:ascii="Cambria" w:hAnsi="Cambria" w:eastAsia="Cambria"/>
          <w:b w:val="0"/>
          <w:i w:val="0"/>
          <w:color w:val="000000"/>
          <w:sz w:val="19"/>
        </w:rPr>
        <w:t>This is an implementation aid, not a substitute for the licensed ISO/IEC 27001 standard, legal advice or a certification audit.</w:t>
      </w:r>
    </w:p>
    <w:p>
      <w:pPr>
        <w:keepNext/>
        <w:spacing w:before="140" w:after="60"/>
      </w:pPr>
      <w:r>
        <w:rPr>
          <w:rFonts w:ascii="Cambria" w:hAnsi="Cambria" w:eastAsia="Cambria"/>
          <w:b/>
          <w:i w:val="0"/>
          <w:color w:val="1F4E79"/>
          <w:sz w:val="24"/>
        </w:rPr>
        <w:t>2. References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ISO/IEC 27001:2022 - Information security management systems - Requirements.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ISO/IEC 27001:2022/Amd 1:2024 - Climate action changes.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ISO/IEC 27002:2022 - Guidance on information security controls.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Organization’s ISMS scope, risk assessment method, risk register, Statement of Applicability (SoA), policies, procedures and operating records.</w:t>
      </w:r>
    </w:p>
    <w:p>
      <w:pPr>
        <w:keepNext/>
        <w:spacing w:before="140" w:after="60"/>
      </w:pPr>
      <w:r>
        <w:rPr>
          <w:rFonts w:ascii="Cambria" w:hAnsi="Cambria" w:eastAsia="Cambria"/>
          <w:b/>
          <w:i w:val="0"/>
          <w:color w:val="1F4E79"/>
          <w:sz w:val="24"/>
        </w:rPr>
        <w:t>3. Assessment Workflow</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47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Step</w:t>
            </w:r>
          </w:p>
        </w:tc>
        <w:tc>
          <w:tcPr>
            <w:tcW w:type="dxa" w:w="5159"/>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What to Do</w:t>
            </w:r>
          </w:p>
        </w:tc>
        <w:tc>
          <w:tcPr>
            <w:tcW w:type="dxa" w:w="272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Output</w:t>
            </w:r>
          </w:p>
        </w:tc>
      </w:tr>
      <w:tr>
        <w:trPr>
          <w:cantSplit/>
        </w:trPr>
        <w:tc>
          <w:tcPr>
            <w:tcW w:type="dxa" w:w="1474"/>
            <w:tcMar>
              <w:top w:w="70" w:type="dxa"/>
              <w:left w:w="80" w:type="dxa"/>
              <w:bottom w:w="70" w:type="dxa"/>
              <w:right w:w="80" w:type="dxa"/>
            </w:tcMar>
            <w:vAlign w:val="top"/>
          </w:tcPr>
          <w:p>
            <w:pPr>
              <w:spacing w:after="0"/>
            </w:pPr>
            <w:r>
              <w:rPr>
                <w:rFonts w:ascii="Cambria" w:hAnsi="Cambria" w:eastAsia="Cambria"/>
                <w:b w:val="0"/>
                <w:i w:val="0"/>
                <w:color w:val="000000"/>
                <w:sz w:val="16"/>
              </w:rPr>
              <w:t>1. Confirm scope</w:t>
            </w:r>
          </w:p>
        </w:tc>
        <w:tc>
          <w:tcPr>
            <w:tcW w:type="dxa" w:w="5159"/>
            <w:tcMar>
              <w:top w:w="70" w:type="dxa"/>
              <w:left w:w="80" w:type="dxa"/>
              <w:bottom w:w="70" w:type="dxa"/>
              <w:right w:w="80" w:type="dxa"/>
            </w:tcMar>
            <w:vAlign w:val="top"/>
          </w:tcPr>
          <w:p>
            <w:pPr>
              <w:spacing w:after="0"/>
            </w:pPr>
            <w:r>
              <w:rPr>
                <w:rFonts w:ascii="Cambria" w:hAnsi="Cambria" w:eastAsia="Cambria"/>
                <w:b w:val="0"/>
                <w:i w:val="0"/>
                <w:color w:val="000000"/>
                <w:sz w:val="16"/>
              </w:rPr>
              <w:t>Define business units, locations, systems, services, interfaces and evidence period to be assessed.</w:t>
            </w:r>
          </w:p>
        </w:tc>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Assessment scope and contacts</w:t>
            </w:r>
          </w:p>
        </w:tc>
      </w:tr>
      <w:tr>
        <w:trPr>
          <w:cantSplit/>
        </w:trPr>
        <w:tc>
          <w:tcPr>
            <w:tcW w:type="dxa" w:w="1474"/>
            <w:tcMar>
              <w:top w:w="70" w:type="dxa"/>
              <w:left w:w="80" w:type="dxa"/>
              <w:bottom w:w="70" w:type="dxa"/>
              <w:right w:w="80" w:type="dxa"/>
            </w:tcMar>
            <w:vAlign w:val="top"/>
          </w:tcPr>
          <w:p>
            <w:pPr>
              <w:spacing w:after="0"/>
            </w:pPr>
            <w:r>
              <w:rPr>
                <w:rFonts w:ascii="Cambria" w:hAnsi="Cambria" w:eastAsia="Cambria"/>
                <w:b w:val="0"/>
                <w:i w:val="0"/>
                <w:color w:val="000000"/>
                <w:sz w:val="16"/>
              </w:rPr>
              <w:t>2. Prepare</w:t>
            </w:r>
          </w:p>
        </w:tc>
        <w:tc>
          <w:tcPr>
            <w:tcW w:type="dxa" w:w="5159"/>
            <w:tcMar>
              <w:top w:w="70" w:type="dxa"/>
              <w:left w:w="80" w:type="dxa"/>
              <w:bottom w:w="70" w:type="dxa"/>
              <w:right w:w="80" w:type="dxa"/>
            </w:tcMar>
            <w:vAlign w:val="top"/>
          </w:tcPr>
          <w:p>
            <w:pPr>
              <w:spacing w:after="0"/>
            </w:pPr>
            <w:r>
              <w:rPr>
                <w:rFonts w:ascii="Cambria" w:hAnsi="Cambria" w:eastAsia="Cambria"/>
                <w:b w:val="0"/>
                <w:i w:val="0"/>
                <w:color w:val="000000"/>
                <w:sz w:val="16"/>
              </w:rPr>
              <w:t>Review context, obligations, current documentation, security incidents, prior audits, risk information and major changes.</w:t>
            </w:r>
          </w:p>
        </w:tc>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Focus areas and evidence request</w:t>
            </w:r>
          </w:p>
        </w:tc>
      </w:tr>
      <w:tr>
        <w:trPr>
          <w:cantSplit/>
        </w:trPr>
        <w:tc>
          <w:tcPr>
            <w:tcW w:type="dxa" w:w="1474"/>
            <w:tcMar>
              <w:top w:w="70" w:type="dxa"/>
              <w:left w:w="80" w:type="dxa"/>
              <w:bottom w:w="70" w:type="dxa"/>
              <w:right w:w="80" w:type="dxa"/>
            </w:tcMar>
            <w:vAlign w:val="top"/>
          </w:tcPr>
          <w:p>
            <w:pPr>
              <w:spacing w:after="0"/>
            </w:pPr>
            <w:r>
              <w:rPr>
                <w:rFonts w:ascii="Cambria" w:hAnsi="Cambria" w:eastAsia="Cambria"/>
                <w:b w:val="0"/>
                <w:i w:val="0"/>
                <w:color w:val="000000"/>
                <w:sz w:val="16"/>
              </w:rPr>
              <w:t>3. Gather evidence</w:t>
            </w:r>
          </w:p>
        </w:tc>
        <w:tc>
          <w:tcPr>
            <w:tcW w:type="dxa" w:w="5159"/>
            <w:tcMar>
              <w:top w:w="70" w:type="dxa"/>
              <w:left w:w="80" w:type="dxa"/>
              <w:bottom w:w="70" w:type="dxa"/>
              <w:right w:w="80" w:type="dxa"/>
            </w:tcMar>
            <w:vAlign w:val="top"/>
          </w:tcPr>
          <w:p>
            <w:pPr>
              <w:spacing w:after="0"/>
            </w:pPr>
            <w:r>
              <w:rPr>
                <w:rFonts w:ascii="Cambria" w:hAnsi="Cambria" w:eastAsia="Cambria"/>
                <w:b w:val="0"/>
                <w:i w:val="0"/>
                <w:color w:val="000000"/>
                <w:sz w:val="16"/>
              </w:rPr>
              <w:t>Interview relevant personnel, inspect records/systems and observe operating practices. Cross-check statements with evidence.</w:t>
            </w:r>
          </w:p>
        </w:tc>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Objective evidence notes</w:t>
            </w:r>
          </w:p>
        </w:tc>
      </w:tr>
      <w:tr>
        <w:trPr>
          <w:cantSplit/>
        </w:trPr>
        <w:tc>
          <w:tcPr>
            <w:tcW w:type="dxa" w:w="1474"/>
            <w:tcMar>
              <w:top w:w="70" w:type="dxa"/>
              <w:left w:w="80" w:type="dxa"/>
              <w:bottom w:w="70" w:type="dxa"/>
              <w:right w:w="80" w:type="dxa"/>
            </w:tcMar>
            <w:vAlign w:val="top"/>
          </w:tcPr>
          <w:p>
            <w:pPr>
              <w:spacing w:after="0"/>
            </w:pPr>
            <w:r>
              <w:rPr>
                <w:rFonts w:ascii="Cambria" w:hAnsi="Cambria" w:eastAsia="Cambria"/>
                <w:b w:val="0"/>
                <w:i w:val="0"/>
                <w:color w:val="000000"/>
                <w:sz w:val="16"/>
              </w:rPr>
              <w:t>4. Rate current state</w:t>
            </w:r>
          </w:p>
        </w:tc>
        <w:tc>
          <w:tcPr>
            <w:tcW w:type="dxa" w:w="5159"/>
            <w:tcMar>
              <w:top w:w="70" w:type="dxa"/>
              <w:left w:w="80" w:type="dxa"/>
              <w:bottom w:w="70" w:type="dxa"/>
              <w:right w:w="80" w:type="dxa"/>
            </w:tcMar>
            <w:vAlign w:val="top"/>
          </w:tcPr>
          <w:p>
            <w:pPr>
              <w:spacing w:after="0"/>
            </w:pPr>
            <w:r>
              <w:rPr>
                <w:rFonts w:ascii="Cambria" w:hAnsi="Cambria" w:eastAsia="Cambria"/>
                <w:b w:val="0"/>
                <w:i w:val="0"/>
                <w:color w:val="000000"/>
                <w:sz w:val="16"/>
              </w:rPr>
              <w:t>Assign Conforming, Partially Conforming, Nonconforming, Not Assessed or N/A based on evidence.</w:t>
            </w:r>
          </w:p>
        </w:tc>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Current-state rating</w:t>
            </w:r>
          </w:p>
        </w:tc>
      </w:tr>
      <w:tr>
        <w:trPr>
          <w:cantSplit/>
        </w:trPr>
        <w:tc>
          <w:tcPr>
            <w:tcW w:type="dxa" w:w="1474"/>
            <w:tcMar>
              <w:top w:w="70" w:type="dxa"/>
              <w:left w:w="80" w:type="dxa"/>
              <w:bottom w:w="70" w:type="dxa"/>
              <w:right w:w="80" w:type="dxa"/>
            </w:tcMar>
            <w:vAlign w:val="top"/>
          </w:tcPr>
          <w:p>
            <w:pPr>
              <w:spacing w:after="0"/>
            </w:pPr>
            <w:r>
              <w:rPr>
                <w:rFonts w:ascii="Cambria" w:hAnsi="Cambria" w:eastAsia="Cambria"/>
                <w:b w:val="0"/>
                <w:i w:val="0"/>
                <w:color w:val="000000"/>
                <w:sz w:val="16"/>
              </w:rPr>
              <w:t>5. Describe the gap</w:t>
            </w:r>
          </w:p>
        </w:tc>
        <w:tc>
          <w:tcPr>
            <w:tcW w:type="dxa" w:w="5159"/>
            <w:tcMar>
              <w:top w:w="70" w:type="dxa"/>
              <w:left w:w="80" w:type="dxa"/>
              <w:bottom w:w="70" w:type="dxa"/>
              <w:right w:w="80" w:type="dxa"/>
            </w:tcMar>
            <w:vAlign w:val="top"/>
          </w:tcPr>
          <w:p>
            <w:pPr>
              <w:spacing w:after="0"/>
            </w:pPr>
            <w:r>
              <w:rPr>
                <w:rFonts w:ascii="Cambria" w:hAnsi="Cambria" w:eastAsia="Cambria"/>
                <w:b w:val="0"/>
                <w:i w:val="0"/>
                <w:color w:val="000000"/>
                <w:sz w:val="16"/>
              </w:rPr>
              <w:t>State the expected outcome, evidence observed and what is missing or ineffective.</w:t>
            </w:r>
          </w:p>
        </w:tc>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Defensible gap statement</w:t>
            </w:r>
          </w:p>
        </w:tc>
      </w:tr>
      <w:tr>
        <w:trPr>
          <w:cantSplit/>
        </w:trPr>
        <w:tc>
          <w:tcPr>
            <w:tcW w:type="dxa" w:w="1474"/>
            <w:tcMar>
              <w:top w:w="70" w:type="dxa"/>
              <w:left w:w="80" w:type="dxa"/>
              <w:bottom w:w="70" w:type="dxa"/>
              <w:right w:w="80" w:type="dxa"/>
            </w:tcMar>
            <w:vAlign w:val="top"/>
          </w:tcPr>
          <w:p>
            <w:pPr>
              <w:spacing w:after="0"/>
            </w:pPr>
            <w:r>
              <w:rPr>
                <w:rFonts w:ascii="Cambria" w:hAnsi="Cambria" w:eastAsia="Cambria"/>
                <w:b w:val="0"/>
                <w:i w:val="0"/>
                <w:color w:val="000000"/>
                <w:sz w:val="16"/>
              </w:rPr>
              <w:t>6. Prioritize</w:t>
            </w:r>
          </w:p>
        </w:tc>
        <w:tc>
          <w:tcPr>
            <w:tcW w:type="dxa" w:w="5159"/>
            <w:tcMar>
              <w:top w:w="70" w:type="dxa"/>
              <w:left w:w="80" w:type="dxa"/>
              <w:bottom w:w="70" w:type="dxa"/>
              <w:right w:w="80" w:type="dxa"/>
            </w:tcMar>
            <w:vAlign w:val="top"/>
          </w:tcPr>
          <w:p>
            <w:pPr>
              <w:spacing w:after="0"/>
            </w:pPr>
            <w:r>
              <w:rPr>
                <w:rFonts w:ascii="Cambria" w:hAnsi="Cambria" w:eastAsia="Cambria"/>
                <w:b w:val="0"/>
                <w:i w:val="0"/>
                <w:color w:val="000000"/>
                <w:sz w:val="16"/>
              </w:rPr>
              <w:t>Consider security impact, compliance impact, dependency, exploitability/exposure and certification readiness.</w:t>
            </w:r>
          </w:p>
        </w:tc>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Priority</w:t>
            </w:r>
          </w:p>
        </w:tc>
      </w:tr>
      <w:tr>
        <w:trPr>
          <w:cantSplit/>
        </w:trPr>
        <w:tc>
          <w:tcPr>
            <w:tcW w:type="dxa" w:w="1474"/>
            <w:tcMar>
              <w:top w:w="70" w:type="dxa"/>
              <w:left w:w="80" w:type="dxa"/>
              <w:bottom w:w="70" w:type="dxa"/>
              <w:right w:w="80" w:type="dxa"/>
            </w:tcMar>
            <w:vAlign w:val="top"/>
          </w:tcPr>
          <w:p>
            <w:pPr>
              <w:spacing w:after="0"/>
            </w:pPr>
            <w:r>
              <w:rPr>
                <w:rFonts w:ascii="Cambria" w:hAnsi="Cambria" w:eastAsia="Cambria"/>
                <w:b w:val="0"/>
                <w:i w:val="0"/>
                <w:color w:val="000000"/>
                <w:sz w:val="16"/>
              </w:rPr>
              <w:t>7. Define action</w:t>
            </w:r>
          </w:p>
        </w:tc>
        <w:tc>
          <w:tcPr>
            <w:tcW w:type="dxa" w:w="5159"/>
            <w:tcMar>
              <w:top w:w="70" w:type="dxa"/>
              <w:left w:w="80" w:type="dxa"/>
              <w:bottom w:w="70" w:type="dxa"/>
              <w:right w:w="80" w:type="dxa"/>
            </w:tcMar>
            <w:vAlign w:val="top"/>
          </w:tcPr>
          <w:p>
            <w:pPr>
              <w:spacing w:after="0"/>
            </w:pPr>
            <w:r>
              <w:rPr>
                <w:rFonts w:ascii="Cambria" w:hAnsi="Cambria" w:eastAsia="Cambria"/>
                <w:b w:val="0"/>
                <w:i w:val="0"/>
                <w:color w:val="000000"/>
                <w:sz w:val="16"/>
              </w:rPr>
              <w:t>Identify a practical deliverable, owner and target date. Link security risks or SoA entries where relevant.</w:t>
            </w:r>
          </w:p>
        </w:tc>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Action plan entry</w:t>
            </w:r>
          </w:p>
        </w:tc>
      </w:tr>
      <w:tr>
        <w:trPr>
          <w:cantSplit/>
        </w:trPr>
        <w:tc>
          <w:tcPr>
            <w:tcW w:type="dxa" w:w="1474"/>
            <w:tcMar>
              <w:top w:w="70" w:type="dxa"/>
              <w:left w:w="80" w:type="dxa"/>
              <w:bottom w:w="70" w:type="dxa"/>
              <w:right w:w="80" w:type="dxa"/>
            </w:tcMar>
            <w:vAlign w:val="top"/>
          </w:tcPr>
          <w:p>
            <w:pPr>
              <w:spacing w:after="0"/>
            </w:pPr>
            <w:r>
              <w:rPr>
                <w:rFonts w:ascii="Cambria" w:hAnsi="Cambria" w:eastAsia="Cambria"/>
                <w:b w:val="0"/>
                <w:i w:val="0"/>
                <w:color w:val="000000"/>
                <w:sz w:val="16"/>
              </w:rPr>
              <w:t>8. Review quality</w:t>
            </w:r>
          </w:p>
        </w:tc>
        <w:tc>
          <w:tcPr>
            <w:tcW w:type="dxa" w:w="5159"/>
            <w:tcMar>
              <w:top w:w="70" w:type="dxa"/>
              <w:left w:w="80" w:type="dxa"/>
              <w:bottom w:w="70" w:type="dxa"/>
              <w:right w:w="80" w:type="dxa"/>
            </w:tcMar>
            <w:vAlign w:val="top"/>
          </w:tcPr>
          <w:p>
            <w:pPr>
              <w:spacing w:after="0"/>
            </w:pPr>
            <w:r>
              <w:rPr>
                <w:rFonts w:ascii="Cambria" w:hAnsi="Cambria" w:eastAsia="Cambria"/>
                <w:b w:val="0"/>
                <w:i w:val="0"/>
                <w:color w:val="000000"/>
                <w:sz w:val="16"/>
              </w:rPr>
              <w:t>Check consistency, evidence sufficiency, duplicates, N/A rationale and ownership before approval.</w:t>
            </w:r>
          </w:p>
        </w:tc>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Reviewed assessment</w:t>
            </w:r>
          </w:p>
        </w:tc>
      </w:tr>
    </w:tbl>
    <w:p>
      <w:pPr>
        <w:spacing w:after="0"/>
      </w:pPr>
    </w:p>
    <w:p>
      <w:pPr>
        <w:keepNext/>
        <w:spacing w:before="140" w:after="60"/>
      </w:pPr>
      <w:r>
        <w:rPr>
          <w:rFonts w:ascii="Cambria" w:hAnsi="Cambria" w:eastAsia="Cambria"/>
          <w:b/>
          <w:i w:val="0"/>
          <w:color w:val="1F4E79"/>
          <w:sz w:val="24"/>
        </w:rPr>
        <w:t>4. Current-State Rating</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3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Rating</w:t>
            </w:r>
          </w:p>
        </w:tc>
        <w:tc>
          <w:tcPr>
            <w:tcW w:type="dxa" w:w="691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Use When</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Conforming</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Evidence demonstrates the applicable requirement/control outcome is established and operating as intended.</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Partially Conforming</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Some arrangements exist, but coverage, consistency, evidence or effectiveness is incomplete.</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Nonconforming</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The applicable requirement/control outcome is absent, materially ineffective or not supported by evidence.</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Not Assessed</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The assessor has not yet obtained enough evidence to make a conclusion.</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N/A</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The criterion genuinely does not apply. For Annex A controls, applicability should be consistent with risk treatment and the SoA.</w:t>
            </w:r>
          </w:p>
        </w:tc>
      </w:tr>
    </w:tbl>
    <w:p>
      <w:pPr>
        <w:spacing w:after="0"/>
      </w:pPr>
    </w:p>
    <w:p>
      <w:pPr>
        <w:keepNext/>
        <w:spacing w:before="140" w:after="60"/>
      </w:pPr>
      <w:r>
        <w:rPr>
          <w:rFonts w:ascii="Cambria" w:hAnsi="Cambria" w:eastAsia="Cambria"/>
          <w:b/>
          <w:i w:val="0"/>
          <w:color w:val="1F4E79"/>
          <w:sz w:val="24"/>
        </w:rPr>
        <w:t>5. Evidence - What Good Evidence Looks Like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87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Evidence Source</w:t>
            </w:r>
          </w:p>
        </w:tc>
        <w:tc>
          <w:tcPr>
            <w:tcW w:type="dxa" w:w="436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Examples</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Quality Check</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6"/>
              </w:rPr>
              <w:t>Documents</w:t>
            </w:r>
          </w:p>
        </w:tc>
        <w:tc>
          <w:tcPr>
            <w:tcW w:type="dxa" w:w="4365"/>
            <w:tcMar>
              <w:top w:w="70" w:type="dxa"/>
              <w:left w:w="80" w:type="dxa"/>
              <w:bottom w:w="70" w:type="dxa"/>
              <w:right w:w="80" w:type="dxa"/>
            </w:tcMar>
            <w:vAlign w:val="top"/>
          </w:tcPr>
          <w:p>
            <w:pPr>
              <w:spacing w:after="0"/>
            </w:pPr>
            <w:r>
              <w:rPr>
                <w:rFonts w:ascii="Cambria" w:hAnsi="Cambria" w:eastAsia="Cambria"/>
                <w:b w:val="0"/>
                <w:i w:val="0"/>
                <w:color w:val="000000"/>
                <w:sz w:val="16"/>
              </w:rPr>
              <w:t>Approved policies, procedures, standards, plans and role definitions.</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Current, approved and applicable to the assessed scope.</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6"/>
              </w:rPr>
              <w:t>Records</w:t>
            </w:r>
          </w:p>
        </w:tc>
        <w:tc>
          <w:tcPr>
            <w:tcW w:type="dxa" w:w="4365"/>
            <w:tcMar>
              <w:top w:w="70" w:type="dxa"/>
              <w:left w:w="80" w:type="dxa"/>
              <w:bottom w:w="70" w:type="dxa"/>
              <w:right w:w="80" w:type="dxa"/>
            </w:tcMar>
            <w:vAlign w:val="top"/>
          </w:tcPr>
          <w:p>
            <w:pPr>
              <w:spacing w:after="0"/>
            </w:pPr>
            <w:r>
              <w:rPr>
                <w:rFonts w:ascii="Cambria" w:hAnsi="Cambria" w:eastAsia="Cambria"/>
                <w:b w:val="0"/>
                <w:i w:val="0"/>
                <w:color w:val="000000"/>
                <w:sz w:val="16"/>
              </w:rPr>
              <w:t>Access reviews, incidents, training, backups, vulnerability remediation, supplier reviews, audit/CAPA records.</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Dated, attributable and representative of actual operation.</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6"/>
              </w:rPr>
              <w:t>Systems / configuration</w:t>
            </w:r>
          </w:p>
        </w:tc>
        <w:tc>
          <w:tcPr>
            <w:tcW w:type="dxa" w:w="4365"/>
            <w:tcMar>
              <w:top w:w="70" w:type="dxa"/>
              <w:left w:w="80" w:type="dxa"/>
              <w:bottom w:w="70" w:type="dxa"/>
              <w:right w:w="80" w:type="dxa"/>
            </w:tcMar>
            <w:vAlign w:val="top"/>
          </w:tcPr>
          <w:p>
            <w:pPr>
              <w:spacing w:after="0"/>
            </w:pPr>
            <w:r>
              <w:rPr>
                <w:rFonts w:ascii="Cambria" w:hAnsi="Cambria" w:eastAsia="Cambria"/>
                <w:b w:val="0"/>
                <w:i w:val="0"/>
                <w:color w:val="000000"/>
                <w:sz w:val="16"/>
              </w:rPr>
              <w:t>Identity systems, endpoint/security tooling, logging platforms, backup consoles, ticketing systems.</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Observed state matches documented control expectations.</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6"/>
              </w:rPr>
              <w:t>Interviews</w:t>
            </w:r>
          </w:p>
        </w:tc>
        <w:tc>
          <w:tcPr>
            <w:tcW w:type="dxa" w:w="4365"/>
            <w:tcMar>
              <w:top w:w="70" w:type="dxa"/>
              <w:left w:w="80" w:type="dxa"/>
              <w:bottom w:w="70" w:type="dxa"/>
              <w:right w:w="80" w:type="dxa"/>
            </w:tcMar>
            <w:vAlign w:val="top"/>
          </w:tcPr>
          <w:p>
            <w:pPr>
              <w:spacing w:after="0"/>
            </w:pPr>
            <w:r>
              <w:rPr>
                <w:rFonts w:ascii="Cambria" w:hAnsi="Cambria" w:eastAsia="Cambria"/>
                <w:b w:val="0"/>
                <w:i w:val="0"/>
                <w:color w:val="000000"/>
                <w:sz w:val="16"/>
              </w:rPr>
              <w:t>Process owners, IT/security personnel, HR, procurement, business users and management.</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Use interviews to understand practice; corroborate material claims.</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6"/>
              </w:rPr>
              <w:t>Observation</w:t>
            </w:r>
          </w:p>
        </w:tc>
        <w:tc>
          <w:tcPr>
            <w:tcW w:type="dxa" w:w="4365"/>
            <w:tcMar>
              <w:top w:w="70" w:type="dxa"/>
              <w:left w:w="80" w:type="dxa"/>
              <w:bottom w:w="70" w:type="dxa"/>
              <w:right w:w="80" w:type="dxa"/>
            </w:tcMar>
            <w:vAlign w:val="top"/>
          </w:tcPr>
          <w:p>
            <w:pPr>
              <w:spacing w:after="0"/>
            </w:pPr>
            <w:r>
              <w:rPr>
                <w:rFonts w:ascii="Cambria" w:hAnsi="Cambria" w:eastAsia="Cambria"/>
                <w:b w:val="0"/>
                <w:i w:val="0"/>
                <w:color w:val="000000"/>
                <w:sz w:val="16"/>
              </w:rPr>
              <w:t>Physical access, secure areas, operational practices, change/release activities.</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Observation is specific, time-bound and relevant to the criterion.</w:t>
            </w:r>
          </w:p>
        </w:tc>
      </w:tr>
    </w:tbl>
    <w:p>
      <w:pPr>
        <w:spacing w:after="0"/>
      </w:pPr>
    </w:p>
    <w:p>
      <w:pPr>
        <w:keepNext/>
        <w:spacing w:before="140" w:after="60"/>
      </w:pPr>
      <w:r>
        <w:rPr>
          <w:rFonts w:ascii="Cambria" w:hAnsi="Cambria" w:eastAsia="Cambria"/>
          <w:b/>
          <w:i w:val="0"/>
          <w:color w:val="1F4E79"/>
          <w:sz w:val="24"/>
        </w:rPr>
        <w:t>6. Writing a Strong Gap Statement</w:t>
      </w:r>
    </w:p>
    <w:p>
      <w:pPr>
        <w:spacing w:after="60" w:line="250" w:lineRule="auto"/>
      </w:pPr>
      <w:r>
        <w:rPr>
          <w:rFonts w:ascii="Cambria" w:hAnsi="Cambria" w:eastAsia="Cambria"/>
          <w:b w:val="0"/>
          <w:i w:val="0"/>
          <w:color w:val="000000"/>
          <w:sz w:val="19"/>
        </w:rPr>
        <w:t>A useful gap statement should make the issue actionable. Record the expected outcome, the evidence sampled and the demonstrated deficiency. Avoid statements such as “security is weak” or “no compliance”.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00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Weak</w:t>
            </w:r>
          </w:p>
        </w:tc>
        <w:tc>
          <w:tcPr>
            <w:tcW w:type="dxa" w:w="635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Better Practice</w:t>
            </w:r>
          </w:p>
        </w:tc>
      </w:tr>
      <w:tr>
        <w:trPr>
          <w:cantSplit/>
        </w:trPr>
        <w:tc>
          <w:tcPr>
            <w:tcW w:type="dxa" w:w="3005"/>
            <w:tcMar>
              <w:top w:w="70" w:type="dxa"/>
              <w:left w:w="80" w:type="dxa"/>
              <w:bottom w:w="70" w:type="dxa"/>
              <w:right w:w="80" w:type="dxa"/>
            </w:tcMar>
            <w:vAlign w:val="top"/>
          </w:tcPr>
          <w:p>
            <w:pPr>
              <w:spacing w:after="0"/>
            </w:pPr>
            <w:r>
              <w:rPr>
                <w:rFonts w:ascii="Cambria" w:hAnsi="Cambria" w:eastAsia="Cambria"/>
                <w:b w:val="0"/>
                <w:i w:val="0"/>
                <w:color w:val="000000"/>
                <w:sz w:val="16"/>
              </w:rPr>
              <w:t>“Access control is poor.”</w:t>
            </w:r>
          </w:p>
        </w:tc>
        <w:tc>
          <w:tcPr>
            <w:tcW w:type="dxa" w:w="6350"/>
            <w:tcMar>
              <w:top w:w="70" w:type="dxa"/>
              <w:left w:w="80" w:type="dxa"/>
              <w:bottom w:w="70" w:type="dxa"/>
              <w:right w:w="80" w:type="dxa"/>
            </w:tcMar>
            <w:vAlign w:val="top"/>
          </w:tcPr>
          <w:p>
            <w:pPr>
              <w:spacing w:after="0"/>
            </w:pPr>
            <w:r>
              <w:rPr>
                <w:rFonts w:ascii="Cambria" w:hAnsi="Cambria" w:eastAsia="Cambria"/>
                <w:b w:val="0"/>
                <w:i w:val="0"/>
                <w:color w:val="000000"/>
                <w:sz w:val="16"/>
              </w:rPr>
              <w:t>Identify the expected access-review/control outcome, the sample reviewed and the specific missing, overdue or ineffective control.</w:t>
            </w:r>
          </w:p>
        </w:tc>
      </w:tr>
      <w:tr>
        <w:trPr>
          <w:cantSplit/>
        </w:trPr>
        <w:tc>
          <w:tcPr>
            <w:tcW w:type="dxa" w:w="3005"/>
            <w:tcMar>
              <w:top w:w="70" w:type="dxa"/>
              <w:left w:w="80" w:type="dxa"/>
              <w:bottom w:w="70" w:type="dxa"/>
              <w:right w:w="80" w:type="dxa"/>
            </w:tcMar>
            <w:vAlign w:val="top"/>
          </w:tcPr>
          <w:p>
            <w:pPr>
              <w:spacing w:after="0"/>
            </w:pPr>
            <w:r>
              <w:rPr>
                <w:rFonts w:ascii="Cambria" w:hAnsi="Cambria" w:eastAsia="Cambria"/>
                <w:b w:val="0"/>
                <w:i w:val="0"/>
                <w:color w:val="000000"/>
                <w:sz w:val="16"/>
              </w:rPr>
              <w:t>“Incident process needs improvement.”</w:t>
            </w:r>
          </w:p>
        </w:tc>
        <w:tc>
          <w:tcPr>
            <w:tcW w:type="dxa" w:w="6350"/>
            <w:tcMar>
              <w:top w:w="70" w:type="dxa"/>
              <w:left w:w="80" w:type="dxa"/>
              <w:bottom w:w="70" w:type="dxa"/>
              <w:right w:w="80" w:type="dxa"/>
            </w:tcMar>
            <w:vAlign w:val="top"/>
          </w:tcPr>
          <w:p>
            <w:pPr>
              <w:spacing w:after="0"/>
            </w:pPr>
            <w:r>
              <w:rPr>
                <w:rFonts w:ascii="Cambria" w:hAnsi="Cambria" w:eastAsia="Cambria"/>
                <w:b w:val="0"/>
                <w:i w:val="0"/>
                <w:color w:val="000000"/>
                <w:sz w:val="16"/>
              </w:rPr>
              <w:t>State what part of reporting, triage, response, communication, learning or evidence is not established or not operating.</w:t>
            </w:r>
          </w:p>
        </w:tc>
      </w:tr>
      <w:tr>
        <w:trPr>
          <w:cantSplit/>
        </w:trPr>
        <w:tc>
          <w:tcPr>
            <w:tcW w:type="dxa" w:w="3005"/>
            <w:tcMar>
              <w:top w:w="70" w:type="dxa"/>
              <w:left w:w="80" w:type="dxa"/>
              <w:bottom w:w="70" w:type="dxa"/>
              <w:right w:w="80" w:type="dxa"/>
            </w:tcMar>
            <w:vAlign w:val="top"/>
          </w:tcPr>
          <w:p>
            <w:pPr>
              <w:spacing w:after="0"/>
            </w:pPr>
            <w:r>
              <w:rPr>
                <w:rFonts w:ascii="Cambria" w:hAnsi="Cambria" w:eastAsia="Cambria"/>
                <w:b w:val="0"/>
                <w:i w:val="0"/>
                <w:color w:val="000000"/>
                <w:sz w:val="16"/>
              </w:rPr>
              <w:t>“No supplier security.”</w:t>
            </w:r>
          </w:p>
        </w:tc>
        <w:tc>
          <w:tcPr>
            <w:tcW w:type="dxa" w:w="6350"/>
            <w:tcMar>
              <w:top w:w="70" w:type="dxa"/>
              <w:left w:w="80" w:type="dxa"/>
              <w:bottom w:w="70" w:type="dxa"/>
              <w:right w:w="80" w:type="dxa"/>
            </w:tcMar>
            <w:vAlign w:val="top"/>
          </w:tcPr>
          <w:p>
            <w:pPr>
              <w:spacing w:after="0"/>
            </w:pPr>
            <w:r>
              <w:rPr>
                <w:rFonts w:ascii="Cambria" w:hAnsi="Cambria" w:eastAsia="Cambria"/>
                <w:b w:val="0"/>
                <w:i w:val="0"/>
                <w:color w:val="000000"/>
                <w:sz w:val="16"/>
              </w:rPr>
              <w:t>Identify which supplier-risk, contractual or monitoring activity is absent for the applicable supplier population.</w:t>
            </w:r>
          </w:p>
        </w:tc>
      </w:tr>
    </w:tbl>
    <w:p>
      <w:pPr>
        <w:spacing w:after="0"/>
      </w:pPr>
    </w:p>
    <w:p>
      <w:pPr>
        <w:keepNext/>
        <w:spacing w:before="140" w:after="60"/>
      </w:pPr>
      <w:r>
        <w:rPr>
          <w:rFonts w:ascii="Cambria" w:hAnsi="Cambria" w:eastAsia="Cambria"/>
          <w:b/>
          <w:i w:val="0"/>
          <w:color w:val="1F4E79"/>
          <w:sz w:val="24"/>
        </w:rPr>
        <w:t>7. Priority and Escalation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36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Priority</w:t>
            </w:r>
          </w:p>
        </w:tc>
        <w:tc>
          <w:tcPr>
            <w:tcW w:type="dxa" w:w="4819"/>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Typical Basis</w:t>
            </w:r>
          </w:p>
        </w:tc>
        <w:tc>
          <w:tcPr>
            <w:tcW w:type="dxa" w:w="317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Expected Response</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6"/>
              </w:rPr>
              <w:t>High</w:t>
            </w:r>
          </w:p>
        </w:tc>
        <w:tc>
          <w:tcPr>
            <w:tcW w:type="dxa" w:w="4819"/>
            <w:tcMar>
              <w:top w:w="70" w:type="dxa"/>
              <w:left w:w="80" w:type="dxa"/>
              <w:bottom w:w="70" w:type="dxa"/>
              <w:right w:w="80" w:type="dxa"/>
            </w:tcMar>
            <w:vAlign w:val="top"/>
          </w:tcPr>
          <w:p>
            <w:pPr>
              <w:spacing w:after="0"/>
            </w:pPr>
            <w:r>
              <w:rPr>
                <w:rFonts w:ascii="Cambria" w:hAnsi="Cambria" w:eastAsia="Cambria"/>
                <w:b w:val="0"/>
                <w:i w:val="0"/>
                <w:color w:val="000000"/>
                <w:sz w:val="16"/>
              </w:rPr>
              <w:t>Material security exposure; legal/contractual impact; systemic control absence; critical dependency; major certification blocker.</w:t>
            </w:r>
          </w:p>
        </w:tc>
        <w:tc>
          <w:tcPr>
            <w:tcW w:type="dxa" w:w="3175"/>
            <w:tcMar>
              <w:top w:w="70" w:type="dxa"/>
              <w:left w:w="80" w:type="dxa"/>
              <w:bottom w:w="70" w:type="dxa"/>
              <w:right w:w="80" w:type="dxa"/>
            </w:tcMar>
            <w:vAlign w:val="top"/>
          </w:tcPr>
          <w:p>
            <w:pPr>
              <w:spacing w:after="0"/>
            </w:pPr>
            <w:r>
              <w:rPr>
                <w:rFonts w:ascii="Cambria" w:hAnsi="Cambria" w:eastAsia="Cambria"/>
                <w:b w:val="0"/>
                <w:i w:val="0"/>
                <w:color w:val="000000"/>
                <w:sz w:val="16"/>
              </w:rPr>
              <w:t>Assign owner promptly, define containment if needed and escalate through ISMS governance.</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6"/>
              </w:rPr>
              <w:t>Medium</w:t>
            </w:r>
          </w:p>
        </w:tc>
        <w:tc>
          <w:tcPr>
            <w:tcW w:type="dxa" w:w="4819"/>
            <w:tcMar>
              <w:top w:w="70" w:type="dxa"/>
              <w:left w:w="80" w:type="dxa"/>
              <w:bottom w:w="70" w:type="dxa"/>
              <w:right w:w="80" w:type="dxa"/>
            </w:tcMar>
            <w:vAlign w:val="top"/>
          </w:tcPr>
          <w:p>
            <w:pPr>
              <w:spacing w:after="0"/>
            </w:pPr>
            <w:r>
              <w:rPr>
                <w:rFonts w:ascii="Cambria" w:hAnsi="Cambria" w:eastAsia="Cambria"/>
                <w:b w:val="0"/>
                <w:i w:val="0"/>
                <w:color w:val="000000"/>
                <w:sz w:val="16"/>
              </w:rPr>
              <w:t>Important weakness with compensating controls or moderate exposure; implementation dependency requiring planned work.</w:t>
            </w:r>
          </w:p>
        </w:tc>
        <w:tc>
          <w:tcPr>
            <w:tcW w:type="dxa" w:w="3175"/>
            <w:tcMar>
              <w:top w:w="70" w:type="dxa"/>
              <w:left w:w="80" w:type="dxa"/>
              <w:bottom w:w="70" w:type="dxa"/>
              <w:right w:w="80" w:type="dxa"/>
            </w:tcMar>
            <w:vAlign w:val="top"/>
          </w:tcPr>
          <w:p>
            <w:pPr>
              <w:spacing w:after="0"/>
            </w:pPr>
            <w:r>
              <w:rPr>
                <w:rFonts w:ascii="Cambria" w:hAnsi="Cambria" w:eastAsia="Cambria"/>
                <w:b w:val="0"/>
                <w:i w:val="0"/>
                <w:color w:val="000000"/>
                <w:sz w:val="16"/>
              </w:rPr>
              <w:t>Plan and track through the implementation/action plan.</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6"/>
              </w:rPr>
              <w:t>Low</w:t>
            </w:r>
          </w:p>
        </w:tc>
        <w:tc>
          <w:tcPr>
            <w:tcW w:type="dxa" w:w="4819"/>
            <w:tcMar>
              <w:top w:w="70" w:type="dxa"/>
              <w:left w:w="80" w:type="dxa"/>
              <w:bottom w:w="70" w:type="dxa"/>
              <w:right w:w="80" w:type="dxa"/>
            </w:tcMar>
            <w:vAlign w:val="top"/>
          </w:tcPr>
          <w:p>
            <w:pPr>
              <w:spacing w:after="0"/>
            </w:pPr>
            <w:r>
              <w:rPr>
                <w:rFonts w:ascii="Cambria" w:hAnsi="Cambria" w:eastAsia="Cambria"/>
                <w:b w:val="0"/>
                <w:i w:val="0"/>
                <w:color w:val="000000"/>
                <w:sz w:val="16"/>
              </w:rPr>
              <w:t>Limited impact or enhancement opportunity with low residual exposure.</w:t>
            </w:r>
          </w:p>
        </w:tc>
        <w:tc>
          <w:tcPr>
            <w:tcW w:type="dxa" w:w="3175"/>
            <w:tcMar>
              <w:top w:w="70" w:type="dxa"/>
              <w:left w:w="80" w:type="dxa"/>
              <w:bottom w:w="70" w:type="dxa"/>
              <w:right w:w="80" w:type="dxa"/>
            </w:tcMar>
            <w:vAlign w:val="top"/>
          </w:tcPr>
          <w:p>
            <w:pPr>
              <w:spacing w:after="0"/>
            </w:pPr>
            <w:r>
              <w:rPr>
                <w:rFonts w:ascii="Cambria" w:hAnsi="Cambria" w:eastAsia="Cambria"/>
                <w:b w:val="0"/>
                <w:i w:val="0"/>
                <w:color w:val="000000"/>
                <w:sz w:val="16"/>
              </w:rPr>
              <w:t>Schedule proportionately and avoid displacing higher-risk work.</w:t>
            </w:r>
          </w:p>
        </w:tc>
      </w:tr>
    </w:tbl>
    <w:p>
      <w:pPr>
        <w:spacing w:after="0"/>
      </w:pPr>
    </w:p>
    <w:p>
      <w:pPr>
        <w:keepNext/>
        <w:spacing w:before="140" w:after="60"/>
      </w:pPr>
      <w:r>
        <w:rPr>
          <w:rFonts w:ascii="Cambria" w:hAnsi="Cambria" w:eastAsia="Cambria"/>
          <w:b/>
          <w:i w:val="0"/>
          <w:color w:val="1F4E79"/>
          <w:sz w:val="24"/>
        </w:rPr>
        <w:t>8. Annex A, Risk Treatment and the SoA</w:t>
      </w:r>
    </w:p>
    <w:p>
      <w:pPr>
        <w:spacing w:after="60" w:line="250" w:lineRule="auto"/>
      </w:pPr>
      <w:r>
        <w:rPr>
          <w:rFonts w:ascii="Cambria" w:hAnsi="Cambria" w:eastAsia="Cambria"/>
          <w:b w:val="0"/>
          <w:i w:val="0"/>
          <w:color w:val="000000"/>
          <w:sz w:val="19"/>
        </w:rPr>
        <w:t>Do not treat every Annex A control as automatically applicable. Use the organization’s risk assessment, legal/contractual obligations and business context to determine control needs. The SoA should provide the formal applicability decision and implementation status; the gap analysis should highlight missing or ineffective implementation evidence.</w:t>
      </w:r>
    </w:p>
    <w:p>
      <w:pPr>
        <w:spacing w:after="60" w:line="250" w:lineRule="auto"/>
      </w:pPr>
      <w:r>
        <w:rPr>
          <w:rFonts w:ascii="Cambria" w:hAnsi="Cambria" w:eastAsia="Cambria"/>
          <w:b w:val="0"/>
          <w:i w:val="0"/>
          <w:color w:val="000000"/>
          <w:sz w:val="19"/>
        </w:rPr>
        <w:t>Where a gap creates or changes an information security risk, link the remediation to the relevant risk record and risk treatment plan. Avoid maintaining disconnected action lists for the same underlying risk.</w:t>
      </w:r>
    </w:p>
    <w:p>
      <w:pPr>
        <w:keepNext/>
        <w:spacing w:before="140" w:after="60"/>
      </w:pPr>
      <w:r>
        <w:rPr>
          <w:rFonts w:ascii="Cambria" w:hAnsi="Cambria" w:eastAsia="Cambria"/>
          <w:b/>
          <w:i w:val="0"/>
          <w:color w:val="1F4E79"/>
          <w:sz w:val="24"/>
        </w:rPr>
        <w:t>9. Handover to the Action Plan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Field</w:t>
            </w:r>
          </w:p>
        </w:tc>
        <w:tc>
          <w:tcPr>
            <w:tcW w:type="dxa" w:w="720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Minimum Practical Content</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Gap ID</w:t>
            </w:r>
          </w:p>
        </w:tc>
        <w:tc>
          <w:tcPr>
            <w:tcW w:type="dxa" w:w="7200"/>
            <w:tcMar>
              <w:top w:w="70" w:type="dxa"/>
              <w:left w:w="80" w:type="dxa"/>
              <w:bottom w:w="70" w:type="dxa"/>
              <w:right w:w="80" w:type="dxa"/>
            </w:tcMar>
            <w:vAlign w:val="top"/>
          </w:tcPr>
          <w:p>
            <w:pPr>
              <w:spacing w:after="0"/>
            </w:pPr>
            <w:r>
              <w:rPr>
                <w:rFonts w:ascii="Cambria" w:hAnsi="Cambria" w:eastAsia="Cambria"/>
                <w:b w:val="0"/>
                <w:i w:val="0"/>
                <w:color w:val="000000"/>
                <w:sz w:val="16"/>
              </w:rPr>
              <w:t>Unique reference that traces back to the gap-analysis row.</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Action</w:t>
            </w:r>
          </w:p>
        </w:tc>
        <w:tc>
          <w:tcPr>
            <w:tcW w:type="dxa" w:w="7200"/>
            <w:tcMar>
              <w:top w:w="70" w:type="dxa"/>
              <w:left w:w="80" w:type="dxa"/>
              <w:bottom w:w="70" w:type="dxa"/>
              <w:right w:w="80" w:type="dxa"/>
            </w:tcMar>
            <w:vAlign w:val="top"/>
          </w:tcPr>
          <w:p>
            <w:pPr>
              <w:spacing w:after="0"/>
            </w:pPr>
            <w:r>
              <w:rPr>
                <w:rFonts w:ascii="Cambria" w:hAnsi="Cambria" w:eastAsia="Cambria"/>
                <w:b w:val="0"/>
                <w:i w:val="0"/>
                <w:color w:val="000000"/>
                <w:sz w:val="16"/>
              </w:rPr>
              <w:t>Specific remediation activity; avoid vague verbs such as “improve” without a deliverable.</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Deliverable</w:t>
            </w:r>
          </w:p>
        </w:tc>
        <w:tc>
          <w:tcPr>
            <w:tcW w:type="dxa" w:w="7200"/>
            <w:tcMar>
              <w:top w:w="70" w:type="dxa"/>
              <w:left w:w="80" w:type="dxa"/>
              <w:bottom w:w="70" w:type="dxa"/>
              <w:right w:w="80" w:type="dxa"/>
            </w:tcMar>
            <w:vAlign w:val="top"/>
          </w:tcPr>
          <w:p>
            <w:pPr>
              <w:spacing w:after="0"/>
            </w:pPr>
            <w:r>
              <w:rPr>
                <w:rFonts w:ascii="Cambria" w:hAnsi="Cambria" w:eastAsia="Cambria"/>
                <w:b w:val="0"/>
                <w:i w:val="0"/>
                <w:color w:val="000000"/>
                <w:sz w:val="16"/>
              </w:rPr>
              <w:t>Observable evidence that indicates implementation is complete.</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Owner / Due Date</w:t>
            </w:r>
          </w:p>
        </w:tc>
        <w:tc>
          <w:tcPr>
            <w:tcW w:type="dxa" w:w="7200"/>
            <w:tcMar>
              <w:top w:w="70" w:type="dxa"/>
              <w:left w:w="80" w:type="dxa"/>
              <w:bottom w:w="70" w:type="dxa"/>
              <w:right w:w="80" w:type="dxa"/>
            </w:tcMar>
            <w:vAlign w:val="top"/>
          </w:tcPr>
          <w:p>
            <w:pPr>
              <w:spacing w:after="0"/>
            </w:pPr>
            <w:r>
              <w:rPr>
                <w:rFonts w:ascii="Cambria" w:hAnsi="Cambria" w:eastAsia="Cambria"/>
                <w:b w:val="0"/>
                <w:i w:val="0"/>
                <w:color w:val="000000"/>
                <w:sz w:val="16"/>
              </w:rPr>
              <w:t>One accountable owner and a realistic completion date.</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Risk / SoA Link</w:t>
            </w:r>
          </w:p>
        </w:tc>
        <w:tc>
          <w:tcPr>
            <w:tcW w:type="dxa" w:w="7200"/>
            <w:tcMar>
              <w:top w:w="70" w:type="dxa"/>
              <w:left w:w="80" w:type="dxa"/>
              <w:bottom w:w="70" w:type="dxa"/>
              <w:right w:w="80" w:type="dxa"/>
            </w:tcMar>
            <w:vAlign w:val="top"/>
          </w:tcPr>
          <w:p>
            <w:pPr>
              <w:spacing w:after="0"/>
            </w:pPr>
            <w:r>
              <w:rPr>
                <w:rFonts w:ascii="Cambria" w:hAnsi="Cambria" w:eastAsia="Cambria"/>
                <w:b w:val="0"/>
                <w:i w:val="0"/>
                <w:color w:val="000000"/>
                <w:sz w:val="16"/>
              </w:rPr>
              <w:t>Risk ID, control reference or SoA entry where relevant.</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6"/>
              </w:rPr>
              <w:t>Verification</w:t>
            </w:r>
          </w:p>
        </w:tc>
        <w:tc>
          <w:tcPr>
            <w:tcW w:type="dxa" w:w="7200"/>
            <w:tcMar>
              <w:top w:w="70" w:type="dxa"/>
              <w:left w:w="80" w:type="dxa"/>
              <w:bottom w:w="70" w:type="dxa"/>
              <w:right w:w="80" w:type="dxa"/>
            </w:tcMar>
            <w:vAlign w:val="top"/>
          </w:tcPr>
          <w:p>
            <w:pPr>
              <w:spacing w:after="0"/>
            </w:pPr>
            <w:r>
              <w:rPr>
                <w:rFonts w:ascii="Cambria" w:hAnsi="Cambria" w:eastAsia="Cambria"/>
                <w:b w:val="0"/>
                <w:i w:val="0"/>
                <w:color w:val="000000"/>
                <w:sz w:val="16"/>
              </w:rPr>
              <w:t>Evidence that implementation is complete and, for significant actions, effective.</w:t>
            </w:r>
          </w:p>
        </w:tc>
      </w:tr>
    </w:tbl>
    <w:p>
      <w:pPr>
        <w:spacing w:after="0"/>
      </w:pPr>
    </w:p>
    <w:p>
      <w:pPr>
        <w:keepNext/>
        <w:spacing w:before="140" w:after="60"/>
      </w:pPr>
      <w:r>
        <w:rPr>
          <w:rFonts w:ascii="Cambria" w:hAnsi="Cambria" w:eastAsia="Cambria"/>
          <w:b/>
          <w:i w:val="0"/>
          <w:color w:val="1F4E79"/>
          <w:sz w:val="24"/>
        </w:rPr>
        <w:t>10. Assessor Quality Check</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Every rating is supported by evidence or clearly marked Not Assessed.</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N/A decisions are justified and do not conflict with the SoA.</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Gap wording is factual, specific and free of unsupported conclusions.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Priorities are based on security/business impact rather than document convenience.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Actions have owners, due dates and clear completion evidence.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Duplicate gaps and actions are consolidated before management review.</w:t>
      </w:r>
    </w:p>
    <w:p>
      <w:pPr>
        <w:keepNext/>
        <w:spacing w:before="140" w:after="60"/>
      </w:pPr>
      <w:r>
        <w:rPr>
          <w:rFonts w:ascii="Cambria" w:hAnsi="Cambria" w:eastAsia="Cambria"/>
          <w:b/>
          <w:i w:val="0"/>
          <w:color w:val="1F4E79"/>
          <w:sz w:val="24"/>
        </w:rPr>
        <w:t>11. Related Documents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Gap Analysis.xlsx</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Gap Analysis Action Plan.xlsx</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Risk Register</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Statement of Applicability</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Risk Treatment Plan</w:t>
      </w:r>
    </w:p>
    <w:p>
      <w:pPr>
        <w:keepNext/>
        <w:spacing w:before="140" w:after="60"/>
      </w:pPr>
      <w:r>
        <w:rPr>
          <w:rFonts w:ascii="Cambria" w:hAnsi="Cambria" w:eastAsia="Cambria"/>
          <w:b/>
          <w:i w:val="0"/>
          <w:color w:val="1F4E79"/>
          <w:sz w:val="24"/>
        </w:rPr>
        <w:t>12. 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Role</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Name / Position</w:t>
            </w:r>
          </w:p>
        </w:tc>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Approval / Signature</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Prepared / Maintained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Information Security Manager</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Reviewed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[REVIEWER / FUNCTION]</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Approved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Top Management</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bl>
    <w:p>
      <w:pPr>
        <w:spacing w:after="0"/>
      </w:pPr>
    </w:p>
    <w:p>
      <w:pPr>
        <w:keepNext/>
        <w:spacing w:before="80" w:after="6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t>1.0</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7"/>
              </w:rPr>
              <w:t>2026-09-18</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9"/>
            </w:rPr>
            <w:t>Information Security Gap Analysis Guidance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5"/>
            </w:rPr>
            <w:t>ISMS-GOV-001</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Gap Analysis Guidance</dc:title>
  <dc:subject>Practical guidance for planning, conducting and converting an ISMS gap analysis into action.</dc:subject>
  <dc:creator>ISO Toolkits</dc:creator>
  <cp:keywords>ISO/IEC 27001:2022, Amendment 1:2024, ISMS, information security</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