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spacing w:before="140" w:after="40"/>
        <w:jc w:val="center"/>
      </w:pPr>
      <w:r>
        <w:rPr>
          <w:rFonts w:ascii="Cambria" w:hAnsi="Cambria" w:eastAsia="Cambria"/>
          <w:b/>
          <w:i w:val="0"/>
          <w:color w:val="1F4E79"/>
          <w:sz w:val="36"/>
        </w:rPr>
        <w:t>OCCUPATIONAL HEALTH &amp; SAFETY MANUAL</w:t>
      </w:r>
    </w:p>
    <w:p>
      <w:pPr>
        <w:spacing w:after="100"/>
        <w:jc w:val="center"/>
      </w:pPr>
      <w:r>
        <w:rPr>
          <w:rFonts w:ascii="Cambria" w:hAnsi="Cambria" w:eastAsia="Cambria"/>
          <w:b/>
          <w:i w:val="0"/>
          <w:color w:val="000000"/>
          <w:sz w:val="18"/>
        </w:rPr>
        <w:t>ISO 45001:2018 + Amendment 1:2024</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Document Owner</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OH&amp;S Manager / OH&amp;SMS Manager</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Approver</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Top Management</w:t>
            </w:r>
          </w:p>
        </w:tc>
      </w:tr>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Classification</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INTERNAL</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Next Review</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2027-09-18</w:t>
            </w:r>
          </w:p>
        </w:tc>
      </w:tr>
    </w:tbl>
    <w:p>
      <w:pPr>
        <w:keepNext/>
        <w:spacing w:before="120" w:after="50"/>
      </w:pPr>
      <w:r>
        <w:rPr>
          <w:rFonts w:ascii="Cambria" w:hAnsi="Cambria" w:eastAsia="Cambria"/>
          <w:b/>
          <w:i w:val="0"/>
          <w:color w:val="1F4E79"/>
          <w:sz w:val="24"/>
        </w:rPr>
        <w:t>1. Purpose</w:t>
      </w:r>
    </w:p>
    <w:p>
      <w:pPr>
        <w:spacing w:after="50" w:line="245" w:lineRule="auto"/>
      </w:pPr>
      <w:r>
        <w:rPr>
          <w:rFonts w:ascii="Cambria" w:hAnsi="Cambria" w:eastAsia="Cambria"/>
          <w:b w:val="0"/>
          <w:i w:val="0"/>
          <w:color w:val="000000"/>
          <w:sz w:val="19"/>
        </w:rPr>
        <w:t>This manual describes the organization’s Occupational Health &amp; Safety Management System (OH&amp;SMS), its governance, process framework and operating model. It provides a concise system-level reference without duplicating the detail contained in procedures, risk assessments and operational records.</w:t>
      </w:r>
    </w:p>
    <w:p>
      <w:pPr>
        <w:keepNext/>
        <w:spacing w:before="120" w:after="50"/>
      </w:pPr>
      <w:r>
        <w:rPr>
          <w:rFonts w:ascii="Cambria" w:hAnsi="Cambria" w:eastAsia="Cambria"/>
          <w:b/>
          <w:i w:val="0"/>
          <w:color w:val="1F4E79"/>
          <w:sz w:val="24"/>
        </w:rPr>
        <w:t>2. OH&amp;SMS Scope</w:t>
      </w:r>
    </w:p>
    <w:p>
      <w:pPr>
        <w:spacing w:after="50" w:line="245" w:lineRule="auto"/>
      </w:pPr>
      <w:r>
        <w:rPr>
          <w:rFonts w:ascii="Cambria" w:hAnsi="Cambria" w:eastAsia="Cambria"/>
          <w:b w:val="0"/>
          <w:i w:val="0"/>
          <w:color w:val="000000"/>
          <w:sz w:val="19"/>
        </w:rPr>
        <w:t>OH&amp;SMS scope: [DEFINE BUSINESS UNITS, LOCATIONS, ACTIVITIES, PRODUCTS/SERVICES, WORKER GROUPS AND INTERFACES].</w:t>
      </w:r>
    </w:p>
    <w:p>
      <w:pPr>
        <w:spacing w:after="50" w:line="245" w:lineRule="auto"/>
      </w:pPr>
      <w:r>
        <w:rPr>
          <w:rFonts w:ascii="Cambria" w:hAnsi="Cambria" w:eastAsia="Cambria"/>
          <w:b w:val="0"/>
          <w:i w:val="0"/>
          <w:color w:val="000000"/>
          <w:sz w:val="19"/>
        </w:rPr>
        <w:t>The scope considers activities under the organization’s control or influence, relevant outsourced processes, contractor interfaces and workplace conditions. The approved scope is maintained as controlled documented information.</w:t>
      </w:r>
    </w:p>
    <w:p>
      <w:pPr>
        <w:keepNext/>
        <w:spacing w:before="120" w:after="50"/>
      </w:pPr>
      <w:r>
        <w:rPr>
          <w:rFonts w:ascii="Cambria" w:hAnsi="Cambria" w:eastAsia="Cambria"/>
          <w:b/>
          <w:i w:val="0"/>
          <w:color w:val="1F4E79"/>
          <w:sz w:val="24"/>
        </w:rPr>
        <w:t>3. Organization Context</w:t>
      </w:r>
    </w:p>
    <w:p>
      <w:pPr>
        <w:spacing w:after="50" w:line="245" w:lineRule="auto"/>
      </w:pPr>
      <w:r>
        <w:rPr>
          <w:rFonts w:ascii="Cambria" w:hAnsi="Cambria" w:eastAsia="Cambria"/>
          <w:b w:val="0"/>
          <w:i w:val="0"/>
          <w:color w:val="000000"/>
          <w:sz w:val="19"/>
        </w:rPr>
        <w:t>The organization identifies internal and external issues that can affect intended OH&amp;SMS outcomes, including workforce arrangements, operations, technology, contractor/supply-chain dependencies, legal change, workplace conditions, emergency risks and business change.</w:t>
      </w:r>
    </w:p>
    <w:p>
      <w:pPr>
        <w:spacing w:after="50" w:line="245" w:lineRule="auto"/>
      </w:pPr>
      <w:r>
        <w:rPr>
          <w:rFonts w:ascii="Cambria" w:hAnsi="Cambria" w:eastAsia="Cambria"/>
          <w:b w:val="0"/>
          <w:i w:val="0"/>
          <w:color w:val="000000"/>
          <w:sz w:val="19"/>
        </w:rPr>
        <w:t>Climate change is considered in the context review where relevant to OH&amp;S, for example through heat stress, severe weather, flooding, air quality, wildfire smoke, disrupted infrastructure or stakeholder requirements.</w:t>
      </w:r>
    </w:p>
    <w:p>
      <w:pPr>
        <w:keepNext/>
        <w:spacing w:before="120" w:after="50"/>
      </w:pPr>
      <w:r>
        <w:rPr>
          <w:rFonts w:ascii="Cambria" w:hAnsi="Cambria" w:eastAsia="Cambria"/>
          <w:b/>
          <w:i w:val="0"/>
          <w:color w:val="1F4E79"/>
          <w:sz w:val="24"/>
        </w:rPr>
        <w:t>4. Workers and Interested Parties</w:t>
      </w:r>
    </w:p>
    <w:p>
      <w:pPr>
        <w:spacing w:after="50" w:line="245" w:lineRule="auto"/>
      </w:pPr>
      <w:r>
        <w:rPr>
          <w:rFonts w:ascii="Cambria" w:hAnsi="Cambria" w:eastAsia="Cambria"/>
          <w:b w:val="0"/>
          <w:i w:val="0"/>
          <w:color w:val="000000"/>
          <w:sz w:val="19"/>
        </w:rPr>
        <w:t>Workers are a central interested party in the OH&amp;SMS. The organization also considers regulators, customers, contractors, visitors, emergency services, insurers, owners and other relevant parties. Applicable needs and expectations are translated into OH&amp;SMS controls, legal/other requirements and communication arrangements.</w:t>
      </w:r>
    </w:p>
    <w:p>
      <w:pPr>
        <w:keepNext/>
        <w:spacing w:before="120" w:after="50"/>
      </w:pPr>
      <w:r>
        <w:rPr>
          <w:rFonts w:ascii="Cambria" w:hAnsi="Cambria" w:eastAsia="Cambria"/>
          <w:b/>
          <w:i w:val="0"/>
          <w:color w:val="1F4E79"/>
          <w:sz w:val="24"/>
        </w:rPr>
        <w:t>5. OH&amp;SMS Process Framework</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2494"/>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Process Family</w:t>
            </w:r>
          </w:p>
        </w:tc>
        <w:tc>
          <w:tcPr>
            <w:tcW w:type="dxa" w:w="3912"/>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Purpose</w:t>
            </w:r>
          </w:p>
        </w:tc>
        <w:tc>
          <w:tcPr>
            <w:tcW w:type="dxa" w:w="2948"/>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Core Outputs</w:t>
            </w:r>
          </w:p>
        </w:tc>
      </w:tr>
      <w:tr>
        <w:trPr>
          <w:cantSplit/>
        </w:trPr>
        <w:tc>
          <w:tcPr>
            <w:tcW w:type="dxa" w:w="2494"/>
            <w:tcMar>
              <w:top w:w="70" w:type="dxa"/>
              <w:left w:w="80" w:type="dxa"/>
              <w:bottom w:w="70" w:type="dxa"/>
              <w:right w:w="80" w:type="dxa"/>
            </w:tcMar>
          </w:tcPr>
          <w:p>
            <w:pPr>
              <w:spacing w:after="0"/>
              <w:jc w:val="left"/>
            </w:pPr>
            <w:r>
              <w:rPr>
                <w:rFonts w:ascii="Cambria" w:hAnsi="Cambria" w:eastAsia="Cambria"/>
                <w:b w:val="0"/>
                <w:i w:val="0"/>
                <w:color w:val="000000"/>
                <w:sz w:val="15"/>
              </w:rPr>
              <w:t>Leadership &amp; Participation</w:t>
            </w:r>
          </w:p>
        </w:tc>
        <w:tc>
          <w:tcPr>
            <w:tcW w:type="dxa" w:w="3912"/>
            <w:tcMar>
              <w:top w:w="70" w:type="dxa"/>
              <w:left w:w="80" w:type="dxa"/>
              <w:bottom w:w="70" w:type="dxa"/>
              <w:right w:w="80" w:type="dxa"/>
            </w:tcMar>
          </w:tcPr>
          <w:p>
            <w:pPr>
              <w:spacing w:after="0"/>
              <w:jc w:val="left"/>
            </w:pPr>
            <w:r>
              <w:rPr>
                <w:rFonts w:ascii="Cambria" w:hAnsi="Cambria" w:eastAsia="Cambria"/>
                <w:b w:val="0"/>
                <w:i w:val="0"/>
                <w:color w:val="000000"/>
                <w:sz w:val="15"/>
              </w:rPr>
              <w:t>Set direction, policy, roles, resources and worker consultation/participation arrangements.</w:t>
            </w:r>
          </w:p>
        </w:tc>
        <w:tc>
          <w:tcPr>
            <w:tcW w:type="dxa" w:w="2948"/>
            <w:tcMar>
              <w:top w:w="70" w:type="dxa"/>
              <w:left w:w="80" w:type="dxa"/>
              <w:bottom w:w="70" w:type="dxa"/>
              <w:right w:w="80" w:type="dxa"/>
            </w:tcMar>
          </w:tcPr>
          <w:p>
            <w:pPr>
              <w:spacing w:after="0"/>
              <w:jc w:val="left"/>
            </w:pPr>
            <w:r>
              <w:rPr>
                <w:rFonts w:ascii="Cambria" w:hAnsi="Cambria" w:eastAsia="Cambria"/>
                <w:b w:val="0"/>
                <w:i w:val="0"/>
                <w:color w:val="000000"/>
                <w:sz w:val="15"/>
              </w:rPr>
              <w:t>Policy, roles, consultation records, objectives</w:t>
            </w:r>
          </w:p>
        </w:tc>
      </w:tr>
      <w:tr>
        <w:trPr>
          <w:cantSplit/>
        </w:trPr>
        <w:tc>
          <w:tcPr>
            <w:tcW w:type="dxa" w:w="2494"/>
            <w:tcMar>
              <w:top w:w="70" w:type="dxa"/>
              <w:left w:w="80" w:type="dxa"/>
              <w:bottom w:w="70" w:type="dxa"/>
              <w:right w:w="80" w:type="dxa"/>
            </w:tcMar>
          </w:tcPr>
          <w:p>
            <w:pPr>
              <w:spacing w:after="0"/>
              <w:jc w:val="left"/>
            </w:pPr>
            <w:r>
              <w:rPr>
                <w:rFonts w:ascii="Cambria" w:hAnsi="Cambria" w:eastAsia="Cambria"/>
                <w:b w:val="0"/>
                <w:i w:val="0"/>
                <w:color w:val="000000"/>
                <w:sz w:val="15"/>
              </w:rPr>
              <w:t>Hazard / Risk &amp; Compliance</w:t>
            </w:r>
          </w:p>
        </w:tc>
        <w:tc>
          <w:tcPr>
            <w:tcW w:type="dxa" w:w="3912"/>
            <w:tcMar>
              <w:top w:w="70" w:type="dxa"/>
              <w:left w:w="80" w:type="dxa"/>
              <w:bottom w:w="70" w:type="dxa"/>
              <w:right w:w="80" w:type="dxa"/>
            </w:tcMar>
          </w:tcPr>
          <w:p>
            <w:pPr>
              <w:spacing w:after="0"/>
              <w:jc w:val="left"/>
            </w:pPr>
            <w:r>
              <w:rPr>
                <w:rFonts w:ascii="Cambria" w:hAnsi="Cambria" w:eastAsia="Cambria"/>
                <w:b w:val="0"/>
                <w:i w:val="0"/>
                <w:color w:val="000000"/>
                <w:sz w:val="15"/>
              </w:rPr>
              <w:t>Identify hazards, assess OH&amp;S risks/opportunities and manage legal/other requirements.</w:t>
            </w:r>
          </w:p>
        </w:tc>
        <w:tc>
          <w:tcPr>
            <w:tcW w:type="dxa" w:w="2948"/>
            <w:tcMar>
              <w:top w:w="70" w:type="dxa"/>
              <w:left w:w="80" w:type="dxa"/>
              <w:bottom w:w="70" w:type="dxa"/>
              <w:right w:w="80" w:type="dxa"/>
            </w:tcMar>
          </w:tcPr>
          <w:p>
            <w:pPr>
              <w:spacing w:after="0"/>
              <w:jc w:val="left"/>
            </w:pPr>
            <w:r>
              <w:rPr>
                <w:rFonts w:ascii="Cambria" w:hAnsi="Cambria" w:eastAsia="Cambria"/>
                <w:b w:val="0"/>
                <w:i w:val="0"/>
                <w:color w:val="000000"/>
                <w:sz w:val="15"/>
              </w:rPr>
              <w:t>Risk register, legal register, action plans</w:t>
            </w:r>
          </w:p>
        </w:tc>
      </w:tr>
      <w:tr>
        <w:trPr>
          <w:cantSplit/>
        </w:trPr>
        <w:tc>
          <w:tcPr>
            <w:tcW w:type="dxa" w:w="2494"/>
            <w:tcMar>
              <w:top w:w="70" w:type="dxa"/>
              <w:left w:w="80" w:type="dxa"/>
              <w:bottom w:w="70" w:type="dxa"/>
              <w:right w:w="80" w:type="dxa"/>
            </w:tcMar>
          </w:tcPr>
          <w:p>
            <w:pPr>
              <w:spacing w:after="0"/>
              <w:jc w:val="left"/>
            </w:pPr>
            <w:r>
              <w:rPr>
                <w:rFonts w:ascii="Cambria" w:hAnsi="Cambria" w:eastAsia="Cambria"/>
                <w:b w:val="0"/>
                <w:i w:val="0"/>
                <w:color w:val="000000"/>
                <w:sz w:val="15"/>
              </w:rPr>
              <w:t>Operational Control</w:t>
            </w:r>
          </w:p>
        </w:tc>
        <w:tc>
          <w:tcPr>
            <w:tcW w:type="dxa" w:w="3912"/>
            <w:tcMar>
              <w:top w:w="70" w:type="dxa"/>
              <w:left w:w="80" w:type="dxa"/>
              <w:bottom w:w="70" w:type="dxa"/>
              <w:right w:w="80" w:type="dxa"/>
            </w:tcMar>
          </w:tcPr>
          <w:p>
            <w:pPr>
              <w:spacing w:after="0"/>
              <w:jc w:val="left"/>
            </w:pPr>
            <w:r>
              <w:rPr>
                <w:rFonts w:ascii="Cambria" w:hAnsi="Cambria" w:eastAsia="Cambria"/>
                <w:b w:val="0"/>
                <w:i w:val="0"/>
                <w:color w:val="000000"/>
                <w:sz w:val="15"/>
              </w:rPr>
              <w:t>Eliminate hazards / reduce risks, manage change, procurement, contractors and emergencies.</w:t>
            </w:r>
          </w:p>
        </w:tc>
        <w:tc>
          <w:tcPr>
            <w:tcW w:type="dxa" w:w="2948"/>
            <w:tcMar>
              <w:top w:w="70" w:type="dxa"/>
              <w:left w:w="80" w:type="dxa"/>
              <w:bottom w:w="70" w:type="dxa"/>
              <w:right w:w="80" w:type="dxa"/>
            </w:tcMar>
          </w:tcPr>
          <w:p>
            <w:pPr>
              <w:spacing w:after="0"/>
              <w:jc w:val="left"/>
            </w:pPr>
            <w:r>
              <w:rPr>
                <w:rFonts w:ascii="Cambria" w:hAnsi="Cambria" w:eastAsia="Cambria"/>
                <w:b w:val="0"/>
                <w:i w:val="0"/>
                <w:color w:val="000000"/>
                <w:sz w:val="15"/>
              </w:rPr>
              <w:t>Operating controls, permits, inspections, emergency evidence</w:t>
            </w:r>
          </w:p>
        </w:tc>
      </w:tr>
      <w:tr>
        <w:trPr>
          <w:cantSplit/>
        </w:trPr>
        <w:tc>
          <w:tcPr>
            <w:tcW w:type="dxa" w:w="2494"/>
            <w:tcMar>
              <w:top w:w="70" w:type="dxa"/>
              <w:left w:w="80" w:type="dxa"/>
              <w:bottom w:w="70" w:type="dxa"/>
              <w:right w:w="80" w:type="dxa"/>
            </w:tcMar>
          </w:tcPr>
          <w:p>
            <w:pPr>
              <w:spacing w:after="0"/>
              <w:jc w:val="left"/>
            </w:pPr>
            <w:r>
              <w:rPr>
                <w:rFonts w:ascii="Cambria" w:hAnsi="Cambria" w:eastAsia="Cambria"/>
                <w:b w:val="0"/>
                <w:i w:val="0"/>
                <w:color w:val="000000"/>
                <w:sz w:val="15"/>
              </w:rPr>
              <w:t>Performance Evaluation</w:t>
            </w:r>
          </w:p>
        </w:tc>
        <w:tc>
          <w:tcPr>
            <w:tcW w:type="dxa" w:w="3912"/>
            <w:tcMar>
              <w:top w:w="70" w:type="dxa"/>
              <w:left w:w="80" w:type="dxa"/>
              <w:bottom w:w="70" w:type="dxa"/>
              <w:right w:w="80" w:type="dxa"/>
            </w:tcMar>
          </w:tcPr>
          <w:p>
            <w:pPr>
              <w:spacing w:after="0"/>
              <w:jc w:val="left"/>
            </w:pPr>
            <w:r>
              <w:rPr>
                <w:rFonts w:ascii="Cambria" w:hAnsi="Cambria" w:eastAsia="Cambria"/>
                <w:b w:val="0"/>
                <w:i w:val="0"/>
                <w:color w:val="000000"/>
                <w:sz w:val="15"/>
              </w:rPr>
              <w:t>Monitor OH&amp;S performance, evaluate compliance, audit the system and review results.</w:t>
            </w:r>
          </w:p>
        </w:tc>
        <w:tc>
          <w:tcPr>
            <w:tcW w:type="dxa" w:w="2948"/>
            <w:tcMar>
              <w:top w:w="70" w:type="dxa"/>
              <w:left w:w="80" w:type="dxa"/>
              <w:bottom w:w="70" w:type="dxa"/>
              <w:right w:w="80" w:type="dxa"/>
            </w:tcMar>
          </w:tcPr>
          <w:p>
            <w:pPr>
              <w:spacing w:after="0"/>
              <w:jc w:val="left"/>
            </w:pPr>
            <w:r>
              <w:rPr>
                <w:rFonts w:ascii="Cambria" w:hAnsi="Cambria" w:eastAsia="Cambria"/>
                <w:b w:val="0"/>
                <w:i w:val="0"/>
                <w:color w:val="000000"/>
                <w:sz w:val="15"/>
              </w:rPr>
              <w:t>KPIs, compliance evaluations, audit results, management review</w:t>
            </w:r>
          </w:p>
        </w:tc>
      </w:tr>
      <w:tr>
        <w:trPr>
          <w:cantSplit/>
        </w:trPr>
        <w:tc>
          <w:tcPr>
            <w:tcW w:type="dxa" w:w="2494"/>
            <w:tcMar>
              <w:top w:w="70" w:type="dxa"/>
              <w:left w:w="80" w:type="dxa"/>
              <w:bottom w:w="70" w:type="dxa"/>
              <w:right w:w="80" w:type="dxa"/>
            </w:tcMar>
          </w:tcPr>
          <w:p>
            <w:pPr>
              <w:spacing w:after="0"/>
              <w:jc w:val="left"/>
            </w:pPr>
            <w:r>
              <w:rPr>
                <w:rFonts w:ascii="Cambria" w:hAnsi="Cambria" w:eastAsia="Cambria"/>
                <w:b w:val="0"/>
                <w:i w:val="0"/>
                <w:color w:val="000000"/>
                <w:sz w:val="15"/>
              </w:rPr>
              <w:t>Improvement</w:t>
            </w:r>
          </w:p>
        </w:tc>
        <w:tc>
          <w:tcPr>
            <w:tcW w:type="dxa" w:w="3912"/>
            <w:tcMar>
              <w:top w:w="70" w:type="dxa"/>
              <w:left w:w="80" w:type="dxa"/>
              <w:bottom w:w="70" w:type="dxa"/>
              <w:right w:w="80" w:type="dxa"/>
            </w:tcMar>
          </w:tcPr>
          <w:p>
            <w:pPr>
              <w:spacing w:after="0"/>
              <w:jc w:val="left"/>
            </w:pPr>
            <w:r>
              <w:rPr>
                <w:rFonts w:ascii="Cambria" w:hAnsi="Cambria" w:eastAsia="Cambria"/>
                <w:b w:val="0"/>
                <w:i w:val="0"/>
                <w:color w:val="000000"/>
                <w:sz w:val="15"/>
              </w:rPr>
              <w:t>Investigate incidents, correct nonconformities and improve OH&amp;S performance.</w:t>
            </w:r>
          </w:p>
        </w:tc>
        <w:tc>
          <w:tcPr>
            <w:tcW w:type="dxa" w:w="2948"/>
            <w:tcMar>
              <w:top w:w="70" w:type="dxa"/>
              <w:left w:w="80" w:type="dxa"/>
              <w:bottom w:w="70" w:type="dxa"/>
              <w:right w:w="80" w:type="dxa"/>
            </w:tcMar>
          </w:tcPr>
          <w:p>
            <w:pPr>
              <w:spacing w:after="0"/>
              <w:jc w:val="left"/>
            </w:pPr>
            <w:r>
              <w:rPr>
                <w:rFonts w:ascii="Cambria" w:hAnsi="Cambria" w:eastAsia="Cambria"/>
                <w:b w:val="0"/>
                <w:i w:val="0"/>
                <w:color w:val="000000"/>
                <w:sz w:val="15"/>
              </w:rPr>
              <w:t>Investigation, corrective action and improvement records</w:t>
            </w:r>
          </w:p>
        </w:tc>
      </w:tr>
    </w:tbl>
    <w:p>
      <w:pPr>
        <w:spacing w:after="0"/>
      </w:pPr>
    </w:p>
    <w:p>
      <w:pPr>
        <w:keepNext/>
        <w:spacing w:before="120" w:after="50"/>
      </w:pPr>
      <w:r>
        <w:rPr>
          <w:rFonts w:ascii="Cambria" w:hAnsi="Cambria" w:eastAsia="Cambria"/>
          <w:b/>
          <w:i w:val="0"/>
          <w:color w:val="1F4E79"/>
          <w:sz w:val="24"/>
        </w:rPr>
        <w:t>6. Leadership and OH&amp;S Policy</w:t>
      </w:r>
    </w:p>
    <w:p>
      <w:pPr>
        <w:spacing w:after="50" w:line="245" w:lineRule="auto"/>
      </w:pPr>
      <w:r>
        <w:rPr>
          <w:rFonts w:ascii="Cambria" w:hAnsi="Cambria" w:eastAsia="Cambria"/>
          <w:b w:val="0"/>
          <w:i w:val="0"/>
          <w:color w:val="000000"/>
          <w:sz w:val="19"/>
        </w:rPr>
        <w:t>Top management is accountable for OH&amp;SMS effectiveness, integration with business processes, provision of resources, support for safe and healthy work, prevention of injury and ill health, consultation and participation of workers, and continual improvement. The OH&amp;S Policy sets high-level commitments and direction.</w:t>
      </w:r>
    </w:p>
    <w:p>
      <w:pPr>
        <w:keepNext/>
        <w:spacing w:before="120" w:after="50"/>
      </w:pPr>
      <w:r>
        <w:rPr>
          <w:rFonts w:ascii="Cambria" w:hAnsi="Cambria" w:eastAsia="Cambria"/>
          <w:b/>
          <w:i w:val="0"/>
          <w:color w:val="1F4E79"/>
          <w:sz w:val="24"/>
        </w:rPr>
        <w:t>7. Worker Consultation and Participation</w:t>
      </w:r>
    </w:p>
    <w:p>
      <w:pPr>
        <w:spacing w:after="50" w:line="245" w:lineRule="auto"/>
      </w:pPr>
      <w:r>
        <w:rPr>
          <w:rFonts w:ascii="Cambria" w:hAnsi="Cambria" w:eastAsia="Cambria"/>
          <w:b w:val="0"/>
          <w:i w:val="0"/>
          <w:color w:val="000000"/>
          <w:sz w:val="19"/>
        </w:rPr>
        <w:t>The organization provides mechanisms for consultation and participation of workers, including non-managerial workers, in relevant OH&amp;SMS activities. Barriers such as language, access to information, work schedules, fear of reprisal or lack of time are identified and reduced where practicable.</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835"/>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Activity</w:t>
            </w:r>
          </w:p>
        </w:tc>
        <w:tc>
          <w:tcPr>
            <w:tcW w:type="dxa" w:w="6520"/>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Typical Worker Involvement</w:t>
            </w:r>
          </w:p>
        </w:tc>
      </w:tr>
      <w:tr>
        <w:trPr>
          <w:cantSplit/>
        </w:trPr>
        <w:tc>
          <w:tcPr>
            <w:tcW w:type="dxa" w:w="2835"/>
            <w:tcMar>
              <w:top w:w="70" w:type="dxa"/>
              <w:left w:w="80" w:type="dxa"/>
              <w:bottom w:w="70" w:type="dxa"/>
              <w:right w:w="80" w:type="dxa"/>
            </w:tcMar>
          </w:tcPr>
          <w:p>
            <w:pPr>
              <w:spacing w:after="0"/>
              <w:jc w:val="left"/>
            </w:pPr>
            <w:r>
              <w:rPr>
                <w:rFonts w:ascii="Cambria" w:hAnsi="Cambria" w:eastAsia="Cambria"/>
                <w:b w:val="0"/>
                <w:i w:val="0"/>
                <w:color w:val="000000"/>
                <w:sz w:val="16"/>
              </w:rPr>
              <w:t>Hazard identification / risk assessment</w:t>
            </w:r>
          </w:p>
        </w:tc>
        <w:tc>
          <w:tcPr>
            <w:tcW w:type="dxa" w:w="6520"/>
            <w:tcMar>
              <w:top w:w="70" w:type="dxa"/>
              <w:left w:w="80" w:type="dxa"/>
              <w:bottom w:w="70" w:type="dxa"/>
              <w:right w:w="80" w:type="dxa"/>
            </w:tcMar>
          </w:tcPr>
          <w:p>
            <w:pPr>
              <w:spacing w:after="0"/>
              <w:jc w:val="left"/>
            </w:pPr>
            <w:r>
              <w:rPr>
                <w:rFonts w:ascii="Cambria" w:hAnsi="Cambria" w:eastAsia="Cambria"/>
                <w:b w:val="0"/>
                <w:i w:val="0"/>
                <w:color w:val="000000"/>
                <w:sz w:val="16"/>
              </w:rPr>
              <w:t>Describe actual work, exposures, non-routine tasks and practical control weaknesses.</w:t>
            </w:r>
          </w:p>
        </w:tc>
      </w:tr>
      <w:tr>
        <w:trPr>
          <w:cantSplit/>
        </w:trPr>
        <w:tc>
          <w:tcPr>
            <w:tcW w:type="dxa" w:w="2835"/>
            <w:tcMar>
              <w:top w:w="70" w:type="dxa"/>
              <w:left w:w="80" w:type="dxa"/>
              <w:bottom w:w="70" w:type="dxa"/>
              <w:right w:w="80" w:type="dxa"/>
            </w:tcMar>
          </w:tcPr>
          <w:p>
            <w:pPr>
              <w:spacing w:after="0"/>
              <w:jc w:val="left"/>
            </w:pPr>
            <w:r>
              <w:rPr>
                <w:rFonts w:ascii="Cambria" w:hAnsi="Cambria" w:eastAsia="Cambria"/>
                <w:b w:val="0"/>
                <w:i w:val="0"/>
                <w:color w:val="000000"/>
                <w:sz w:val="16"/>
              </w:rPr>
              <w:t>Objectives / improvement</w:t>
            </w:r>
          </w:p>
        </w:tc>
        <w:tc>
          <w:tcPr>
            <w:tcW w:type="dxa" w:w="6520"/>
            <w:tcMar>
              <w:top w:w="70" w:type="dxa"/>
              <w:left w:w="80" w:type="dxa"/>
              <w:bottom w:w="70" w:type="dxa"/>
              <w:right w:w="80" w:type="dxa"/>
            </w:tcMar>
          </w:tcPr>
          <w:p>
            <w:pPr>
              <w:spacing w:after="0"/>
              <w:jc w:val="left"/>
            </w:pPr>
            <w:r>
              <w:rPr>
                <w:rFonts w:ascii="Cambria" w:hAnsi="Cambria" w:eastAsia="Cambria"/>
                <w:b w:val="0"/>
                <w:i w:val="0"/>
                <w:color w:val="000000"/>
                <w:sz w:val="16"/>
              </w:rPr>
              <w:t>Provide input on priority OH&amp;S issues and practical improvement actions.</w:t>
            </w:r>
          </w:p>
        </w:tc>
      </w:tr>
      <w:tr>
        <w:trPr>
          <w:cantSplit/>
        </w:trPr>
        <w:tc>
          <w:tcPr>
            <w:tcW w:type="dxa" w:w="2835"/>
            <w:tcMar>
              <w:top w:w="70" w:type="dxa"/>
              <w:left w:w="80" w:type="dxa"/>
              <w:bottom w:w="70" w:type="dxa"/>
              <w:right w:w="80" w:type="dxa"/>
            </w:tcMar>
          </w:tcPr>
          <w:p>
            <w:pPr>
              <w:spacing w:after="0"/>
              <w:jc w:val="left"/>
            </w:pPr>
            <w:r>
              <w:rPr>
                <w:rFonts w:ascii="Cambria" w:hAnsi="Cambria" w:eastAsia="Cambria"/>
                <w:b w:val="0"/>
                <w:i w:val="0"/>
                <w:color w:val="000000"/>
                <w:sz w:val="16"/>
              </w:rPr>
              <w:t>Operational control / change</w:t>
            </w:r>
          </w:p>
        </w:tc>
        <w:tc>
          <w:tcPr>
            <w:tcW w:type="dxa" w:w="6520"/>
            <w:tcMar>
              <w:top w:w="70" w:type="dxa"/>
              <w:left w:w="80" w:type="dxa"/>
              <w:bottom w:w="70" w:type="dxa"/>
              <w:right w:w="80" w:type="dxa"/>
            </w:tcMar>
          </w:tcPr>
          <w:p>
            <w:pPr>
              <w:spacing w:after="0"/>
              <w:jc w:val="left"/>
            </w:pPr>
            <w:r>
              <w:rPr>
                <w:rFonts w:ascii="Cambria" w:hAnsi="Cambria" w:eastAsia="Cambria"/>
                <w:b w:val="0"/>
                <w:i w:val="0"/>
                <w:color w:val="000000"/>
                <w:sz w:val="16"/>
              </w:rPr>
              <w:t>Review proposed work methods, PPE, procedures and changes that affect workers.</w:t>
            </w:r>
          </w:p>
        </w:tc>
      </w:tr>
      <w:tr>
        <w:trPr>
          <w:cantSplit/>
        </w:trPr>
        <w:tc>
          <w:tcPr>
            <w:tcW w:type="dxa" w:w="2835"/>
            <w:tcMar>
              <w:top w:w="70" w:type="dxa"/>
              <w:left w:w="80" w:type="dxa"/>
              <w:bottom w:w="70" w:type="dxa"/>
              <w:right w:w="80" w:type="dxa"/>
            </w:tcMar>
          </w:tcPr>
          <w:p>
            <w:pPr>
              <w:spacing w:after="0"/>
              <w:jc w:val="left"/>
            </w:pPr>
            <w:r>
              <w:rPr>
                <w:rFonts w:ascii="Cambria" w:hAnsi="Cambria" w:eastAsia="Cambria"/>
                <w:b w:val="0"/>
                <w:i w:val="0"/>
                <w:color w:val="000000"/>
                <w:sz w:val="16"/>
              </w:rPr>
              <w:t>Incident investigation</w:t>
            </w:r>
          </w:p>
        </w:tc>
        <w:tc>
          <w:tcPr>
            <w:tcW w:type="dxa" w:w="6520"/>
            <w:tcMar>
              <w:top w:w="70" w:type="dxa"/>
              <w:left w:w="80" w:type="dxa"/>
              <w:bottom w:w="70" w:type="dxa"/>
              <w:right w:w="80" w:type="dxa"/>
            </w:tcMar>
          </w:tcPr>
          <w:p>
            <w:pPr>
              <w:spacing w:after="0"/>
              <w:jc w:val="left"/>
            </w:pPr>
            <w:r>
              <w:rPr>
                <w:rFonts w:ascii="Cambria" w:hAnsi="Cambria" w:eastAsia="Cambria"/>
                <w:b w:val="0"/>
                <w:i w:val="0"/>
                <w:color w:val="000000"/>
                <w:sz w:val="16"/>
              </w:rPr>
              <w:t>Provide evidence, causal insight and feedback on corrective actions.</w:t>
            </w:r>
          </w:p>
        </w:tc>
      </w:tr>
      <w:tr>
        <w:trPr>
          <w:cantSplit/>
        </w:trPr>
        <w:tc>
          <w:tcPr>
            <w:tcW w:type="dxa" w:w="2835"/>
            <w:tcMar>
              <w:top w:w="70" w:type="dxa"/>
              <w:left w:w="80" w:type="dxa"/>
              <w:bottom w:w="70" w:type="dxa"/>
              <w:right w:w="80" w:type="dxa"/>
            </w:tcMar>
          </w:tcPr>
          <w:p>
            <w:pPr>
              <w:spacing w:after="0"/>
              <w:jc w:val="left"/>
            </w:pPr>
            <w:r>
              <w:rPr>
                <w:rFonts w:ascii="Cambria" w:hAnsi="Cambria" w:eastAsia="Cambria"/>
                <w:b w:val="0"/>
                <w:i w:val="0"/>
                <w:color w:val="000000"/>
                <w:sz w:val="16"/>
              </w:rPr>
              <w:t>Audit / management review input</w:t>
            </w:r>
          </w:p>
        </w:tc>
        <w:tc>
          <w:tcPr>
            <w:tcW w:type="dxa" w:w="6520"/>
            <w:tcMar>
              <w:top w:w="70" w:type="dxa"/>
              <w:left w:w="80" w:type="dxa"/>
              <w:bottom w:w="70" w:type="dxa"/>
              <w:right w:w="80" w:type="dxa"/>
            </w:tcMar>
          </w:tcPr>
          <w:p>
            <w:pPr>
              <w:spacing w:after="0"/>
              <w:jc w:val="left"/>
            </w:pPr>
            <w:r>
              <w:rPr>
                <w:rFonts w:ascii="Cambria" w:hAnsi="Cambria" w:eastAsia="Cambria"/>
                <w:b w:val="0"/>
                <w:i w:val="0"/>
                <w:color w:val="000000"/>
                <w:sz w:val="16"/>
              </w:rPr>
              <w:t>Provide worker experience and concerns relevant to system effectiveness.</w:t>
            </w:r>
          </w:p>
        </w:tc>
      </w:tr>
    </w:tbl>
    <w:p>
      <w:pPr>
        <w:spacing w:after="0"/>
      </w:pPr>
    </w:p>
    <w:p>
      <w:pPr>
        <w:keepNext/>
        <w:spacing w:before="120" w:after="50"/>
      </w:pPr>
      <w:r>
        <w:rPr>
          <w:rFonts w:ascii="Cambria" w:hAnsi="Cambria" w:eastAsia="Cambria"/>
          <w:b/>
          <w:i w:val="0"/>
          <w:color w:val="1F4E79"/>
          <w:sz w:val="24"/>
        </w:rPr>
        <w:t>8. Roles and Responsibilities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721"/>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Role</w:t>
            </w:r>
          </w:p>
        </w:tc>
        <w:tc>
          <w:tcPr>
            <w:tcW w:type="dxa" w:w="6633"/>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Key Responsibilities</w:t>
            </w:r>
          </w:p>
        </w:tc>
      </w:tr>
      <w:tr>
        <w:trPr>
          <w:cantSplit/>
        </w:trPr>
        <w:tc>
          <w:tcPr>
            <w:tcW w:type="dxa" w:w="2721"/>
            <w:tcMar>
              <w:top w:w="70" w:type="dxa"/>
              <w:left w:w="80" w:type="dxa"/>
              <w:bottom w:w="70" w:type="dxa"/>
              <w:right w:w="80" w:type="dxa"/>
            </w:tcMar>
          </w:tcPr>
          <w:p>
            <w:pPr>
              <w:spacing w:after="0"/>
              <w:jc w:val="left"/>
            </w:pPr>
            <w:r>
              <w:rPr>
                <w:rFonts w:ascii="Cambria" w:hAnsi="Cambria" w:eastAsia="Cambria"/>
                <w:b w:val="0"/>
                <w:i w:val="0"/>
                <w:color w:val="000000"/>
                <w:sz w:val="16"/>
              </w:rPr>
              <w:t>Top Management</w:t>
            </w:r>
          </w:p>
        </w:tc>
        <w:tc>
          <w:tcPr>
            <w:tcW w:type="dxa" w:w="6633"/>
            <w:tcMar>
              <w:top w:w="70" w:type="dxa"/>
              <w:left w:w="80" w:type="dxa"/>
              <w:bottom w:w="70" w:type="dxa"/>
              <w:right w:w="80" w:type="dxa"/>
            </w:tcMar>
          </w:tcPr>
          <w:p>
            <w:pPr>
              <w:spacing w:after="0"/>
              <w:jc w:val="left"/>
            </w:pPr>
            <w:r>
              <w:rPr>
                <w:rFonts w:ascii="Cambria" w:hAnsi="Cambria" w:eastAsia="Cambria"/>
                <w:b w:val="0"/>
                <w:i w:val="0"/>
                <w:color w:val="000000"/>
                <w:sz w:val="16"/>
              </w:rPr>
              <w:t>Approve direction, policy, scope, objectives, resources and management-review decisions.</w:t>
            </w:r>
          </w:p>
        </w:tc>
      </w:tr>
      <w:tr>
        <w:trPr>
          <w:cantSplit/>
        </w:trPr>
        <w:tc>
          <w:tcPr>
            <w:tcW w:type="dxa" w:w="2721"/>
            <w:tcMar>
              <w:top w:w="70" w:type="dxa"/>
              <w:left w:w="80" w:type="dxa"/>
              <w:bottom w:w="70" w:type="dxa"/>
              <w:right w:w="80" w:type="dxa"/>
            </w:tcMar>
          </w:tcPr>
          <w:p>
            <w:pPr>
              <w:spacing w:after="0"/>
              <w:jc w:val="left"/>
            </w:pPr>
            <w:r>
              <w:rPr>
                <w:rFonts w:ascii="Cambria" w:hAnsi="Cambria" w:eastAsia="Cambria"/>
                <w:b w:val="0"/>
                <w:i w:val="0"/>
                <w:color w:val="000000"/>
                <w:sz w:val="16"/>
              </w:rPr>
              <w:t>OH&amp;S / OH&amp;SMS Manager</w:t>
            </w:r>
          </w:p>
        </w:tc>
        <w:tc>
          <w:tcPr>
            <w:tcW w:type="dxa" w:w="6633"/>
            <w:tcMar>
              <w:top w:w="70" w:type="dxa"/>
              <w:left w:w="80" w:type="dxa"/>
              <w:bottom w:w="70" w:type="dxa"/>
              <w:right w:w="80" w:type="dxa"/>
            </w:tcMar>
          </w:tcPr>
          <w:p>
            <w:pPr>
              <w:spacing w:after="0"/>
              <w:jc w:val="left"/>
            </w:pPr>
            <w:r>
              <w:rPr>
                <w:rFonts w:ascii="Cambria" w:hAnsi="Cambria" w:eastAsia="Cambria"/>
                <w:b w:val="0"/>
                <w:i w:val="0"/>
                <w:color w:val="000000"/>
                <w:sz w:val="16"/>
              </w:rPr>
              <w:t>Coordinate system operation, legal/compliance arrangements, monitoring, audit, reporting and improvement.</w:t>
            </w:r>
          </w:p>
        </w:tc>
      </w:tr>
      <w:tr>
        <w:trPr>
          <w:cantSplit/>
        </w:trPr>
        <w:tc>
          <w:tcPr>
            <w:tcW w:type="dxa" w:w="2721"/>
            <w:tcMar>
              <w:top w:w="70" w:type="dxa"/>
              <w:left w:w="80" w:type="dxa"/>
              <w:bottom w:w="70" w:type="dxa"/>
              <w:right w:w="80" w:type="dxa"/>
            </w:tcMar>
          </w:tcPr>
          <w:p>
            <w:pPr>
              <w:spacing w:after="0"/>
              <w:jc w:val="left"/>
            </w:pPr>
            <w:r>
              <w:rPr>
                <w:rFonts w:ascii="Cambria" w:hAnsi="Cambria" w:eastAsia="Cambria"/>
                <w:b w:val="0"/>
                <w:i w:val="0"/>
                <w:color w:val="000000"/>
                <w:sz w:val="16"/>
              </w:rPr>
              <w:t>Managers / Supervisors</w:t>
            </w:r>
          </w:p>
        </w:tc>
        <w:tc>
          <w:tcPr>
            <w:tcW w:type="dxa" w:w="6633"/>
            <w:tcMar>
              <w:top w:w="70" w:type="dxa"/>
              <w:left w:w="80" w:type="dxa"/>
              <w:bottom w:w="70" w:type="dxa"/>
              <w:right w:w="80" w:type="dxa"/>
            </w:tcMar>
          </w:tcPr>
          <w:p>
            <w:pPr>
              <w:spacing w:after="0"/>
              <w:jc w:val="left"/>
            </w:pPr>
            <w:r>
              <w:rPr>
                <w:rFonts w:ascii="Cambria" w:hAnsi="Cambria" w:eastAsia="Cambria"/>
                <w:b w:val="0"/>
                <w:i w:val="0"/>
                <w:color w:val="000000"/>
                <w:sz w:val="16"/>
              </w:rPr>
              <w:t>Implement controls, ensure competent work, consult workers, monitor conditions and respond to issues.</w:t>
            </w:r>
          </w:p>
        </w:tc>
      </w:tr>
      <w:tr>
        <w:trPr>
          <w:cantSplit/>
        </w:trPr>
        <w:tc>
          <w:tcPr>
            <w:tcW w:type="dxa" w:w="2721"/>
            <w:tcMar>
              <w:top w:w="70" w:type="dxa"/>
              <w:left w:w="80" w:type="dxa"/>
              <w:bottom w:w="70" w:type="dxa"/>
              <w:right w:w="80" w:type="dxa"/>
            </w:tcMar>
          </w:tcPr>
          <w:p>
            <w:pPr>
              <w:spacing w:after="0"/>
              <w:jc w:val="left"/>
            </w:pPr>
            <w:r>
              <w:rPr>
                <w:rFonts w:ascii="Cambria" w:hAnsi="Cambria" w:eastAsia="Cambria"/>
                <w:b w:val="0"/>
                <w:i w:val="0"/>
                <w:color w:val="000000"/>
                <w:sz w:val="16"/>
              </w:rPr>
              <w:t>Workers</w:t>
            </w:r>
          </w:p>
        </w:tc>
        <w:tc>
          <w:tcPr>
            <w:tcW w:type="dxa" w:w="6633"/>
            <w:tcMar>
              <w:top w:w="70" w:type="dxa"/>
              <w:left w:w="80" w:type="dxa"/>
              <w:bottom w:w="70" w:type="dxa"/>
              <w:right w:w="80" w:type="dxa"/>
            </w:tcMar>
          </w:tcPr>
          <w:p>
            <w:pPr>
              <w:spacing w:after="0"/>
              <w:jc w:val="left"/>
            </w:pPr>
            <w:r>
              <w:rPr>
                <w:rFonts w:ascii="Cambria" w:hAnsi="Cambria" w:eastAsia="Cambria"/>
                <w:b w:val="0"/>
                <w:i w:val="0"/>
                <w:color w:val="000000"/>
                <w:sz w:val="16"/>
              </w:rPr>
              <w:t>Follow applicable controls, participate/consult as relevant, report hazards/incidents and stop/escalate unsafe conditions using defined arrangements.</w:t>
            </w:r>
          </w:p>
        </w:tc>
      </w:tr>
      <w:tr>
        <w:trPr>
          <w:cantSplit/>
        </w:trPr>
        <w:tc>
          <w:tcPr>
            <w:tcW w:type="dxa" w:w="2721"/>
            <w:tcMar>
              <w:top w:w="70" w:type="dxa"/>
              <w:left w:w="80" w:type="dxa"/>
              <w:bottom w:w="70" w:type="dxa"/>
              <w:right w:w="80" w:type="dxa"/>
            </w:tcMar>
          </w:tcPr>
          <w:p>
            <w:pPr>
              <w:spacing w:after="0"/>
              <w:jc w:val="left"/>
            </w:pPr>
            <w:r>
              <w:rPr>
                <w:rFonts w:ascii="Cambria" w:hAnsi="Cambria" w:eastAsia="Cambria"/>
                <w:b w:val="0"/>
                <w:i w:val="0"/>
                <w:color w:val="000000"/>
                <w:sz w:val="16"/>
              </w:rPr>
              <w:t>Worker Representatives</w:t>
            </w:r>
          </w:p>
        </w:tc>
        <w:tc>
          <w:tcPr>
            <w:tcW w:type="dxa" w:w="6633"/>
            <w:tcMar>
              <w:top w:w="70" w:type="dxa"/>
              <w:left w:w="80" w:type="dxa"/>
              <w:bottom w:w="70" w:type="dxa"/>
              <w:right w:w="80" w:type="dxa"/>
            </w:tcMar>
          </w:tcPr>
          <w:p>
            <w:pPr>
              <w:spacing w:after="0"/>
              <w:jc w:val="left"/>
            </w:pPr>
            <w:r>
              <w:rPr>
                <w:rFonts w:ascii="Cambria" w:hAnsi="Cambria" w:eastAsia="Cambria"/>
                <w:b w:val="0"/>
                <w:i w:val="0"/>
                <w:color w:val="000000"/>
                <w:sz w:val="16"/>
              </w:rPr>
              <w:t>Support consultation/participation and represent worker concerns where applicable.</w:t>
            </w:r>
          </w:p>
        </w:tc>
      </w:tr>
      <w:tr>
        <w:trPr>
          <w:cantSplit/>
        </w:trPr>
        <w:tc>
          <w:tcPr>
            <w:tcW w:type="dxa" w:w="2721"/>
            <w:tcMar>
              <w:top w:w="70" w:type="dxa"/>
              <w:left w:w="80" w:type="dxa"/>
              <w:bottom w:w="70" w:type="dxa"/>
              <w:right w:w="80" w:type="dxa"/>
            </w:tcMar>
          </w:tcPr>
          <w:p>
            <w:pPr>
              <w:spacing w:after="0"/>
              <w:jc w:val="left"/>
            </w:pPr>
            <w:r>
              <w:rPr>
                <w:rFonts w:ascii="Cambria" w:hAnsi="Cambria" w:eastAsia="Cambria"/>
                <w:b w:val="0"/>
                <w:i w:val="0"/>
                <w:color w:val="000000"/>
                <w:sz w:val="16"/>
              </w:rPr>
              <w:t>Process / Risk Owners</w:t>
            </w:r>
          </w:p>
        </w:tc>
        <w:tc>
          <w:tcPr>
            <w:tcW w:type="dxa" w:w="6633"/>
            <w:tcMar>
              <w:top w:w="70" w:type="dxa"/>
              <w:left w:w="80" w:type="dxa"/>
              <w:bottom w:w="70" w:type="dxa"/>
              <w:right w:w="80" w:type="dxa"/>
            </w:tcMar>
          </w:tcPr>
          <w:p>
            <w:pPr>
              <w:spacing w:after="0"/>
              <w:jc w:val="left"/>
            </w:pPr>
            <w:r>
              <w:rPr>
                <w:rFonts w:ascii="Cambria" w:hAnsi="Cambria" w:eastAsia="Cambria"/>
                <w:b w:val="0"/>
                <w:i w:val="0"/>
                <w:color w:val="000000"/>
                <w:sz w:val="16"/>
              </w:rPr>
              <w:t>Maintain risk assessments, operational controls, action plans and performance evidence.</w:t>
            </w:r>
          </w:p>
        </w:tc>
      </w:tr>
    </w:tbl>
    <w:p>
      <w:pPr>
        <w:spacing w:after="0"/>
      </w:pPr>
    </w:p>
    <w:p>
      <w:pPr>
        <w:keepNext/>
        <w:spacing w:before="120" w:after="50"/>
      </w:pPr>
      <w:r>
        <w:rPr>
          <w:rFonts w:ascii="Cambria" w:hAnsi="Cambria" w:eastAsia="Cambria"/>
          <w:b/>
          <w:i w:val="0"/>
          <w:color w:val="1F4E79"/>
          <w:sz w:val="24"/>
        </w:rPr>
        <w:t>9. Hazard Identification, OH&amp;S Risks and Opportunities</w:t>
      </w:r>
    </w:p>
    <w:p>
      <w:pPr>
        <w:spacing w:after="50" w:line="245" w:lineRule="auto"/>
      </w:pPr>
      <w:r>
        <w:rPr>
          <w:rFonts w:ascii="Cambria" w:hAnsi="Cambria" w:eastAsia="Cambria"/>
          <w:b w:val="0"/>
          <w:i w:val="0"/>
          <w:color w:val="000000"/>
          <w:sz w:val="19"/>
        </w:rPr>
        <w:t>The organization maintains a proactive and ongoing process to identify hazards arising from routine and non-routine work, people, human factors, workplace design, substances, equipment, incidents, emergency situations, external conditions and planned or unplanned change. OH&amp;S risks are evaluated using approved criteria and are reviewed when conditions change.</w:t>
      </w:r>
    </w:p>
    <w:p>
      <w:pPr>
        <w:spacing w:after="50" w:line="245" w:lineRule="auto"/>
      </w:pPr>
      <w:r>
        <w:rPr>
          <w:rFonts w:ascii="Cambria" w:hAnsi="Cambria" w:eastAsia="Cambria"/>
          <w:b w:val="0"/>
          <w:i w:val="0"/>
          <w:color w:val="000000"/>
          <w:sz w:val="19"/>
        </w:rPr>
        <w:t>OH&amp;S opportunities are considered alongside risk reduction, including work redesign, technology, participation, ergonomics, competence, health protection and other opportunities to improve OH&amp;S performance.</w:t>
      </w:r>
    </w:p>
    <w:p>
      <w:pPr>
        <w:keepNext/>
        <w:spacing w:before="120" w:after="50"/>
      </w:pPr>
      <w:r>
        <w:rPr>
          <w:rFonts w:ascii="Cambria" w:hAnsi="Cambria" w:eastAsia="Cambria"/>
          <w:b/>
          <w:i w:val="0"/>
          <w:color w:val="1F4E79"/>
          <w:sz w:val="24"/>
        </w:rPr>
        <w:t>10. Legal and Other Requirements</w:t>
      </w:r>
    </w:p>
    <w:p>
      <w:pPr>
        <w:spacing w:after="50" w:line="245" w:lineRule="auto"/>
      </w:pPr>
      <w:r>
        <w:rPr>
          <w:rFonts w:ascii="Cambria" w:hAnsi="Cambria" w:eastAsia="Cambria"/>
          <w:b w:val="0"/>
          <w:i w:val="0"/>
          <w:color w:val="000000"/>
          <w:sz w:val="19"/>
        </w:rPr>
        <w:t>Applicable legal and other OH&amp;S requirements are identified, kept current, communicated where necessary and reflected in operational controls. Compliance is evaluated at planned intervals and material noncompliance is addressed through correction, corrective action or escalation as appropriate.</w:t>
      </w:r>
    </w:p>
    <w:p>
      <w:pPr>
        <w:keepNext/>
        <w:spacing w:before="120" w:after="50"/>
      </w:pPr>
      <w:r>
        <w:rPr>
          <w:rFonts w:ascii="Cambria" w:hAnsi="Cambria" w:eastAsia="Cambria"/>
          <w:b/>
          <w:i w:val="0"/>
          <w:color w:val="1F4E79"/>
          <w:sz w:val="24"/>
        </w:rPr>
        <w:t>11. Objectives and Planning</w:t>
      </w:r>
    </w:p>
    <w:p>
      <w:pPr>
        <w:spacing w:after="50" w:line="245" w:lineRule="auto"/>
      </w:pPr>
      <w:r>
        <w:rPr>
          <w:rFonts w:ascii="Cambria" w:hAnsi="Cambria" w:eastAsia="Cambria"/>
          <w:b w:val="0"/>
          <w:i w:val="0"/>
          <w:color w:val="000000"/>
          <w:sz w:val="19"/>
        </w:rPr>
        <w:t>OH&amp;S objectives are established at relevant functions and levels, are measurable where practicable, and reflect hazards, risks, opportunities, compliance obligations, worker consultation and performance priorities. Plans define actions, resources, responsibilities, timing and evaluation.</w:t>
      </w:r>
    </w:p>
    <w:p>
      <w:pPr>
        <w:keepNext/>
        <w:spacing w:before="120" w:after="50"/>
      </w:pPr>
      <w:r>
        <w:rPr>
          <w:rFonts w:ascii="Cambria" w:hAnsi="Cambria" w:eastAsia="Cambria"/>
          <w:b/>
          <w:i w:val="0"/>
          <w:color w:val="1F4E79"/>
          <w:sz w:val="24"/>
        </w:rPr>
        <w:t>12. Support</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324"/>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Support Area</w:t>
            </w:r>
          </w:p>
        </w:tc>
        <w:tc>
          <w:tcPr>
            <w:tcW w:type="dxa" w:w="7030"/>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OH&amp;SMS Arrangement</w:t>
            </w:r>
          </w:p>
        </w:tc>
      </w:tr>
      <w:tr>
        <w:trPr>
          <w:cantSplit/>
        </w:trPr>
        <w:tc>
          <w:tcPr>
            <w:tcW w:type="dxa" w:w="2324"/>
            <w:tcMar>
              <w:top w:w="70" w:type="dxa"/>
              <w:left w:w="80" w:type="dxa"/>
              <w:bottom w:w="70" w:type="dxa"/>
              <w:right w:w="80" w:type="dxa"/>
            </w:tcMar>
          </w:tcPr>
          <w:p>
            <w:pPr>
              <w:spacing w:after="0"/>
              <w:jc w:val="left"/>
            </w:pPr>
            <w:r>
              <w:rPr>
                <w:rFonts w:ascii="Cambria" w:hAnsi="Cambria" w:eastAsia="Cambria"/>
                <w:b w:val="0"/>
                <w:i w:val="0"/>
                <w:color w:val="000000"/>
                <w:sz w:val="15"/>
              </w:rPr>
              <w:t>Resources</w:t>
            </w:r>
          </w:p>
        </w:tc>
        <w:tc>
          <w:tcPr>
            <w:tcW w:type="dxa" w:w="7030"/>
            <w:tcMar>
              <w:top w:w="70" w:type="dxa"/>
              <w:left w:w="80" w:type="dxa"/>
              <w:bottom w:w="70" w:type="dxa"/>
              <w:right w:w="80" w:type="dxa"/>
            </w:tcMar>
          </w:tcPr>
          <w:p>
            <w:pPr>
              <w:spacing w:after="0"/>
              <w:jc w:val="left"/>
            </w:pPr>
            <w:r>
              <w:rPr>
                <w:rFonts w:ascii="Cambria" w:hAnsi="Cambria" w:eastAsia="Cambria"/>
                <w:b w:val="0"/>
                <w:i w:val="0"/>
                <w:color w:val="000000"/>
                <w:sz w:val="15"/>
              </w:rPr>
              <w:t>People, equipment, specialist services, time and budget are provided according to OH&amp;S risk and system needs.</w:t>
            </w:r>
          </w:p>
        </w:tc>
      </w:tr>
      <w:tr>
        <w:trPr>
          <w:cantSplit/>
        </w:trPr>
        <w:tc>
          <w:tcPr>
            <w:tcW w:type="dxa" w:w="2324"/>
            <w:tcMar>
              <w:top w:w="70" w:type="dxa"/>
              <w:left w:w="80" w:type="dxa"/>
              <w:bottom w:w="70" w:type="dxa"/>
              <w:right w:w="80" w:type="dxa"/>
            </w:tcMar>
          </w:tcPr>
          <w:p>
            <w:pPr>
              <w:spacing w:after="0"/>
              <w:jc w:val="left"/>
            </w:pPr>
            <w:r>
              <w:rPr>
                <w:rFonts w:ascii="Cambria" w:hAnsi="Cambria" w:eastAsia="Cambria"/>
                <w:b w:val="0"/>
                <w:i w:val="0"/>
                <w:color w:val="000000"/>
                <w:sz w:val="15"/>
              </w:rPr>
              <w:t>Competence</w:t>
            </w:r>
          </w:p>
        </w:tc>
        <w:tc>
          <w:tcPr>
            <w:tcW w:type="dxa" w:w="7030"/>
            <w:tcMar>
              <w:top w:w="70" w:type="dxa"/>
              <w:left w:w="80" w:type="dxa"/>
              <w:bottom w:w="70" w:type="dxa"/>
              <w:right w:w="80" w:type="dxa"/>
            </w:tcMar>
          </w:tcPr>
          <w:p>
            <w:pPr>
              <w:spacing w:after="0"/>
              <w:jc w:val="left"/>
            </w:pPr>
            <w:r>
              <w:rPr>
                <w:rFonts w:ascii="Cambria" w:hAnsi="Cambria" w:eastAsia="Cambria"/>
                <w:b w:val="0"/>
                <w:i w:val="0"/>
                <w:color w:val="000000"/>
                <w:sz w:val="15"/>
              </w:rPr>
              <w:t>Competence requirements are defined and evidence is retained for persons doing work affecting OH&amp;S.</w:t>
            </w:r>
          </w:p>
        </w:tc>
      </w:tr>
      <w:tr>
        <w:trPr>
          <w:cantSplit/>
        </w:trPr>
        <w:tc>
          <w:tcPr>
            <w:tcW w:type="dxa" w:w="2324"/>
            <w:tcMar>
              <w:top w:w="70" w:type="dxa"/>
              <w:left w:w="80" w:type="dxa"/>
              <w:bottom w:w="70" w:type="dxa"/>
              <w:right w:w="80" w:type="dxa"/>
            </w:tcMar>
          </w:tcPr>
          <w:p>
            <w:pPr>
              <w:spacing w:after="0"/>
              <w:jc w:val="left"/>
            </w:pPr>
            <w:r>
              <w:rPr>
                <w:rFonts w:ascii="Cambria" w:hAnsi="Cambria" w:eastAsia="Cambria"/>
                <w:b w:val="0"/>
                <w:i w:val="0"/>
                <w:color w:val="000000"/>
                <w:sz w:val="15"/>
              </w:rPr>
              <w:t>Awareness</w:t>
            </w:r>
          </w:p>
        </w:tc>
        <w:tc>
          <w:tcPr>
            <w:tcW w:type="dxa" w:w="7030"/>
            <w:tcMar>
              <w:top w:w="70" w:type="dxa"/>
              <w:left w:w="80" w:type="dxa"/>
              <w:bottom w:w="70" w:type="dxa"/>
              <w:right w:w="80" w:type="dxa"/>
            </w:tcMar>
          </w:tcPr>
          <w:p>
            <w:pPr>
              <w:spacing w:after="0"/>
              <w:jc w:val="left"/>
            </w:pPr>
            <w:r>
              <w:rPr>
                <w:rFonts w:ascii="Cambria" w:hAnsi="Cambria" w:eastAsia="Cambria"/>
                <w:b w:val="0"/>
                <w:i w:val="0"/>
                <w:color w:val="000000"/>
                <w:sz w:val="15"/>
              </w:rPr>
              <w:t>Workers understand relevant hazards, controls, incident reporting, policy and consequences of deviations.</w:t>
            </w:r>
          </w:p>
        </w:tc>
      </w:tr>
      <w:tr>
        <w:trPr>
          <w:cantSplit/>
        </w:trPr>
        <w:tc>
          <w:tcPr>
            <w:tcW w:type="dxa" w:w="2324"/>
            <w:tcMar>
              <w:top w:w="70" w:type="dxa"/>
              <w:left w:w="80" w:type="dxa"/>
              <w:bottom w:w="70" w:type="dxa"/>
              <w:right w:w="80" w:type="dxa"/>
            </w:tcMar>
          </w:tcPr>
          <w:p>
            <w:pPr>
              <w:spacing w:after="0"/>
              <w:jc w:val="left"/>
            </w:pPr>
            <w:r>
              <w:rPr>
                <w:rFonts w:ascii="Cambria" w:hAnsi="Cambria" w:eastAsia="Cambria"/>
                <w:b w:val="0"/>
                <w:i w:val="0"/>
                <w:color w:val="000000"/>
                <w:sz w:val="15"/>
              </w:rPr>
              <w:t>Communication</w:t>
            </w:r>
          </w:p>
        </w:tc>
        <w:tc>
          <w:tcPr>
            <w:tcW w:type="dxa" w:w="7030"/>
            <w:tcMar>
              <w:top w:w="70" w:type="dxa"/>
              <w:left w:w="80" w:type="dxa"/>
              <w:bottom w:w="70" w:type="dxa"/>
              <w:right w:w="80" w:type="dxa"/>
            </w:tcMar>
          </w:tcPr>
          <w:p>
            <w:pPr>
              <w:spacing w:after="0"/>
              <w:jc w:val="left"/>
            </w:pPr>
            <w:r>
              <w:rPr>
                <w:rFonts w:ascii="Cambria" w:hAnsi="Cambria" w:eastAsia="Cambria"/>
                <w:b w:val="0"/>
                <w:i w:val="0"/>
                <w:color w:val="000000"/>
                <w:sz w:val="15"/>
              </w:rPr>
              <w:t>Internal/external OH&amp;S communications are planned and include emergency and legal/stakeholder communication where relevant.</w:t>
            </w:r>
          </w:p>
        </w:tc>
      </w:tr>
      <w:tr>
        <w:trPr>
          <w:cantSplit/>
        </w:trPr>
        <w:tc>
          <w:tcPr>
            <w:tcW w:type="dxa" w:w="2324"/>
            <w:tcMar>
              <w:top w:w="70" w:type="dxa"/>
              <w:left w:w="80" w:type="dxa"/>
              <w:bottom w:w="70" w:type="dxa"/>
              <w:right w:w="80" w:type="dxa"/>
            </w:tcMar>
          </w:tcPr>
          <w:p>
            <w:pPr>
              <w:spacing w:after="0"/>
              <w:jc w:val="left"/>
            </w:pPr>
            <w:r>
              <w:rPr>
                <w:rFonts w:ascii="Cambria" w:hAnsi="Cambria" w:eastAsia="Cambria"/>
                <w:b w:val="0"/>
                <w:i w:val="0"/>
                <w:color w:val="000000"/>
                <w:sz w:val="15"/>
              </w:rPr>
              <w:t>Documented Information</w:t>
            </w:r>
          </w:p>
        </w:tc>
        <w:tc>
          <w:tcPr>
            <w:tcW w:type="dxa" w:w="7030"/>
            <w:tcMar>
              <w:top w:w="70" w:type="dxa"/>
              <w:left w:w="80" w:type="dxa"/>
              <w:bottom w:w="70" w:type="dxa"/>
              <w:right w:w="80" w:type="dxa"/>
            </w:tcMar>
          </w:tcPr>
          <w:p>
            <w:pPr>
              <w:spacing w:after="0"/>
              <w:jc w:val="left"/>
            </w:pPr>
            <w:r>
              <w:rPr>
                <w:rFonts w:ascii="Cambria" w:hAnsi="Cambria" w:eastAsia="Cambria"/>
                <w:b w:val="0"/>
                <w:i w:val="0"/>
                <w:color w:val="000000"/>
                <w:sz w:val="15"/>
              </w:rPr>
              <w:t>OH&amp;SMS documents/records are created, approved, available, protected, changed, retained and disposed under controlled arrangements.</w:t>
            </w:r>
          </w:p>
        </w:tc>
      </w:tr>
    </w:tbl>
    <w:p>
      <w:pPr>
        <w:spacing w:after="0"/>
      </w:pPr>
    </w:p>
    <w:p>
      <w:pPr>
        <w:keepNext/>
        <w:spacing w:before="120" w:after="50"/>
      </w:pPr>
      <w:r>
        <w:rPr>
          <w:rFonts w:ascii="Cambria" w:hAnsi="Cambria" w:eastAsia="Cambria"/>
          <w:b/>
          <w:i w:val="0"/>
          <w:color w:val="1F4E79"/>
          <w:sz w:val="24"/>
        </w:rPr>
        <w:t>13. Operational Framework</w:t>
      </w:r>
    </w:p>
    <w:p>
      <w:pPr>
        <w:spacing w:after="50" w:line="245" w:lineRule="auto"/>
      </w:pPr>
      <w:r>
        <w:rPr>
          <w:rFonts w:ascii="Cambria" w:hAnsi="Cambria" w:eastAsia="Cambria"/>
          <w:b w:val="0"/>
          <w:i w:val="0"/>
          <w:color w:val="000000"/>
          <w:sz w:val="19"/>
        </w:rPr>
        <w:t>Operational controls are established for significant OH&amp;S risks and obligations. The hierarchy of controls is used to prioritize elimination, substitution and engineering controls before relying on administrative controls and PPE where practicable.</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778"/>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Operational Area</w:t>
            </w:r>
          </w:p>
        </w:tc>
        <w:tc>
          <w:tcPr>
            <w:tcW w:type="dxa" w:w="6576"/>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5"/>
              </w:rPr>
              <w:t>Typical Control</w:t>
            </w:r>
          </w:p>
        </w:tc>
      </w:tr>
      <w:tr>
        <w:trPr>
          <w:cantSplit/>
        </w:trPr>
        <w:tc>
          <w:tcPr>
            <w:tcW w:type="dxa" w:w="2778"/>
            <w:tcMar>
              <w:top w:w="70" w:type="dxa"/>
              <w:left w:w="80" w:type="dxa"/>
              <w:bottom w:w="70" w:type="dxa"/>
              <w:right w:w="80" w:type="dxa"/>
            </w:tcMar>
          </w:tcPr>
          <w:p>
            <w:pPr>
              <w:spacing w:after="0"/>
              <w:jc w:val="left"/>
            </w:pPr>
            <w:r>
              <w:rPr>
                <w:rFonts w:ascii="Cambria" w:hAnsi="Cambria" w:eastAsia="Cambria"/>
                <w:b w:val="0"/>
                <w:i w:val="0"/>
                <w:color w:val="000000"/>
                <w:sz w:val="15"/>
              </w:rPr>
              <w:t>Routine / non-routine work</w:t>
            </w:r>
          </w:p>
        </w:tc>
        <w:tc>
          <w:tcPr>
            <w:tcW w:type="dxa" w:w="6576"/>
            <w:tcMar>
              <w:top w:w="70" w:type="dxa"/>
              <w:left w:w="80" w:type="dxa"/>
              <w:bottom w:w="70" w:type="dxa"/>
              <w:right w:w="80" w:type="dxa"/>
            </w:tcMar>
          </w:tcPr>
          <w:p>
            <w:pPr>
              <w:spacing w:after="0"/>
              <w:jc w:val="left"/>
            </w:pPr>
            <w:r>
              <w:rPr>
                <w:rFonts w:ascii="Cambria" w:hAnsi="Cambria" w:eastAsia="Cambria"/>
                <w:b w:val="0"/>
                <w:i w:val="0"/>
                <w:color w:val="000000"/>
                <w:sz w:val="15"/>
              </w:rPr>
              <w:t>Defined work criteria, safe methods, supervision, competence, permits and inspections as needed.</w:t>
            </w:r>
          </w:p>
        </w:tc>
      </w:tr>
      <w:tr>
        <w:trPr>
          <w:cantSplit/>
        </w:trPr>
        <w:tc>
          <w:tcPr>
            <w:tcW w:type="dxa" w:w="2778"/>
            <w:tcMar>
              <w:top w:w="70" w:type="dxa"/>
              <w:left w:w="80" w:type="dxa"/>
              <w:bottom w:w="70" w:type="dxa"/>
              <w:right w:w="80" w:type="dxa"/>
            </w:tcMar>
          </w:tcPr>
          <w:p>
            <w:pPr>
              <w:spacing w:after="0"/>
              <w:jc w:val="left"/>
            </w:pPr>
            <w:r>
              <w:rPr>
                <w:rFonts w:ascii="Cambria" w:hAnsi="Cambria" w:eastAsia="Cambria"/>
                <w:b w:val="0"/>
                <w:i w:val="0"/>
                <w:color w:val="000000"/>
                <w:sz w:val="15"/>
              </w:rPr>
              <w:t>Management of change</w:t>
            </w:r>
          </w:p>
        </w:tc>
        <w:tc>
          <w:tcPr>
            <w:tcW w:type="dxa" w:w="6576"/>
            <w:tcMar>
              <w:top w:w="70" w:type="dxa"/>
              <w:left w:w="80" w:type="dxa"/>
              <w:bottom w:w="70" w:type="dxa"/>
              <w:right w:w="80" w:type="dxa"/>
            </w:tcMar>
          </w:tcPr>
          <w:p>
            <w:pPr>
              <w:spacing w:after="0"/>
              <w:jc w:val="left"/>
            </w:pPr>
            <w:r>
              <w:rPr>
                <w:rFonts w:ascii="Cambria" w:hAnsi="Cambria" w:eastAsia="Cambria"/>
                <w:b w:val="0"/>
                <w:i w:val="0"/>
                <w:color w:val="000000"/>
                <w:sz w:val="15"/>
              </w:rPr>
              <w:t>OH&amp;S risk review before temporary/permanent changes to equipment, process, organization, staffing or workplace.</w:t>
            </w:r>
          </w:p>
        </w:tc>
      </w:tr>
      <w:tr>
        <w:trPr>
          <w:cantSplit/>
        </w:trPr>
        <w:tc>
          <w:tcPr>
            <w:tcW w:type="dxa" w:w="2778"/>
            <w:tcMar>
              <w:top w:w="70" w:type="dxa"/>
              <w:left w:w="80" w:type="dxa"/>
              <w:bottom w:w="70" w:type="dxa"/>
              <w:right w:w="80" w:type="dxa"/>
            </w:tcMar>
          </w:tcPr>
          <w:p>
            <w:pPr>
              <w:spacing w:after="0"/>
              <w:jc w:val="left"/>
            </w:pPr>
            <w:r>
              <w:rPr>
                <w:rFonts w:ascii="Cambria" w:hAnsi="Cambria" w:eastAsia="Cambria"/>
                <w:b w:val="0"/>
                <w:i w:val="0"/>
                <w:color w:val="000000"/>
                <w:sz w:val="15"/>
              </w:rPr>
              <w:t>Procurement / contractors / outsourcing</w:t>
            </w:r>
          </w:p>
        </w:tc>
        <w:tc>
          <w:tcPr>
            <w:tcW w:type="dxa" w:w="6576"/>
            <w:tcMar>
              <w:top w:w="70" w:type="dxa"/>
              <w:left w:w="80" w:type="dxa"/>
              <w:bottom w:w="70" w:type="dxa"/>
              <w:right w:w="80" w:type="dxa"/>
            </w:tcMar>
          </w:tcPr>
          <w:p>
            <w:pPr>
              <w:spacing w:after="0"/>
              <w:jc w:val="left"/>
            </w:pPr>
            <w:r>
              <w:rPr>
                <w:rFonts w:ascii="Cambria" w:hAnsi="Cambria" w:eastAsia="Cambria"/>
                <w:b w:val="0"/>
                <w:i w:val="0"/>
                <w:color w:val="000000"/>
                <w:sz w:val="15"/>
              </w:rPr>
              <w:t>OH&amp;S requirements, interface coordination, selection, communication and monitoring.</w:t>
            </w:r>
          </w:p>
        </w:tc>
      </w:tr>
      <w:tr>
        <w:trPr>
          <w:cantSplit/>
        </w:trPr>
        <w:tc>
          <w:tcPr>
            <w:tcW w:type="dxa" w:w="2778"/>
            <w:tcMar>
              <w:top w:w="70" w:type="dxa"/>
              <w:left w:w="80" w:type="dxa"/>
              <w:bottom w:w="70" w:type="dxa"/>
              <w:right w:w="80" w:type="dxa"/>
            </w:tcMar>
          </w:tcPr>
          <w:p>
            <w:pPr>
              <w:spacing w:after="0"/>
              <w:jc w:val="left"/>
            </w:pPr>
            <w:r>
              <w:rPr>
                <w:rFonts w:ascii="Cambria" w:hAnsi="Cambria" w:eastAsia="Cambria"/>
                <w:b w:val="0"/>
                <w:i w:val="0"/>
                <w:color w:val="000000"/>
                <w:sz w:val="15"/>
              </w:rPr>
              <w:t>Emergency preparedness</w:t>
            </w:r>
          </w:p>
        </w:tc>
        <w:tc>
          <w:tcPr>
            <w:tcW w:type="dxa" w:w="6576"/>
            <w:tcMar>
              <w:top w:w="70" w:type="dxa"/>
              <w:left w:w="80" w:type="dxa"/>
              <w:bottom w:w="70" w:type="dxa"/>
              <w:right w:w="80" w:type="dxa"/>
            </w:tcMar>
          </w:tcPr>
          <w:p>
            <w:pPr>
              <w:spacing w:after="0"/>
              <w:jc w:val="left"/>
            </w:pPr>
            <w:r>
              <w:rPr>
                <w:rFonts w:ascii="Cambria" w:hAnsi="Cambria" w:eastAsia="Cambria"/>
                <w:b w:val="0"/>
                <w:i w:val="0"/>
                <w:color w:val="000000"/>
                <w:sz w:val="15"/>
              </w:rPr>
              <w:t>Credible scenarios, roles, resources, training, communication, exercises and lessons learned.</w:t>
            </w:r>
          </w:p>
        </w:tc>
      </w:tr>
      <w:tr>
        <w:trPr>
          <w:cantSplit/>
        </w:trPr>
        <w:tc>
          <w:tcPr>
            <w:tcW w:type="dxa" w:w="2778"/>
            <w:tcMar>
              <w:top w:w="70" w:type="dxa"/>
              <w:left w:w="80" w:type="dxa"/>
              <w:bottom w:w="70" w:type="dxa"/>
              <w:right w:w="80" w:type="dxa"/>
            </w:tcMar>
          </w:tcPr>
          <w:p>
            <w:pPr>
              <w:spacing w:after="0"/>
              <w:jc w:val="left"/>
            </w:pPr>
            <w:r>
              <w:rPr>
                <w:rFonts w:ascii="Cambria" w:hAnsi="Cambria" w:eastAsia="Cambria"/>
                <w:b w:val="0"/>
                <w:i w:val="0"/>
                <w:color w:val="000000"/>
                <w:sz w:val="15"/>
              </w:rPr>
              <w:t>Exposure / health protection</w:t>
            </w:r>
          </w:p>
        </w:tc>
        <w:tc>
          <w:tcPr>
            <w:tcW w:type="dxa" w:w="6576"/>
            <w:tcMar>
              <w:top w:w="70" w:type="dxa"/>
              <w:left w:w="80" w:type="dxa"/>
              <w:bottom w:w="70" w:type="dxa"/>
              <w:right w:w="80" w:type="dxa"/>
            </w:tcMar>
          </w:tcPr>
          <w:p>
            <w:pPr>
              <w:spacing w:after="0"/>
              <w:jc w:val="left"/>
            </w:pPr>
            <w:r>
              <w:rPr>
                <w:rFonts w:ascii="Cambria" w:hAnsi="Cambria" w:eastAsia="Cambria"/>
                <w:b w:val="0"/>
                <w:i w:val="0"/>
                <w:color w:val="000000"/>
                <w:sz w:val="15"/>
              </w:rPr>
              <w:t>Control of chemical, physical, biological, ergonomic and psychosocial exposures where relevant.</w:t>
            </w:r>
          </w:p>
        </w:tc>
      </w:tr>
    </w:tbl>
    <w:p>
      <w:pPr>
        <w:spacing w:after="0"/>
      </w:pPr>
    </w:p>
    <w:p>
      <w:pPr>
        <w:keepNext/>
        <w:spacing w:before="120" w:after="50"/>
      </w:pPr>
      <w:r>
        <w:rPr>
          <w:rFonts w:ascii="Cambria" w:hAnsi="Cambria" w:eastAsia="Cambria"/>
          <w:b/>
          <w:i w:val="0"/>
          <w:color w:val="1F4E79"/>
          <w:sz w:val="24"/>
        </w:rPr>
        <w:t>14. Performance Evaluation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721"/>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Activity</w:t>
            </w:r>
          </w:p>
        </w:tc>
        <w:tc>
          <w:tcPr>
            <w:tcW w:type="dxa" w:w="6633"/>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Purpose / Output</w:t>
            </w:r>
          </w:p>
        </w:tc>
      </w:tr>
      <w:tr>
        <w:trPr>
          <w:cantSplit/>
        </w:trPr>
        <w:tc>
          <w:tcPr>
            <w:tcW w:type="dxa" w:w="2721"/>
            <w:tcMar>
              <w:top w:w="70" w:type="dxa"/>
              <w:left w:w="80" w:type="dxa"/>
              <w:bottom w:w="70" w:type="dxa"/>
              <w:right w:w="80" w:type="dxa"/>
            </w:tcMar>
          </w:tcPr>
          <w:p>
            <w:pPr>
              <w:spacing w:after="0"/>
              <w:jc w:val="left"/>
            </w:pPr>
            <w:r>
              <w:rPr>
                <w:rFonts w:ascii="Cambria" w:hAnsi="Cambria" w:eastAsia="Cambria"/>
                <w:b w:val="0"/>
                <w:i w:val="0"/>
                <w:color w:val="000000"/>
                <w:sz w:val="16"/>
              </w:rPr>
              <w:t>Monitoring / Measurement</w:t>
            </w:r>
          </w:p>
        </w:tc>
        <w:tc>
          <w:tcPr>
            <w:tcW w:type="dxa" w:w="6633"/>
            <w:tcMar>
              <w:top w:w="70" w:type="dxa"/>
              <w:left w:w="80" w:type="dxa"/>
              <w:bottom w:w="70" w:type="dxa"/>
              <w:right w:w="80" w:type="dxa"/>
            </w:tcMar>
          </w:tcPr>
          <w:p>
            <w:pPr>
              <w:spacing w:after="0"/>
              <w:jc w:val="left"/>
            </w:pPr>
            <w:r>
              <w:rPr>
                <w:rFonts w:ascii="Cambria" w:hAnsi="Cambria" w:eastAsia="Cambria"/>
                <w:b w:val="0"/>
                <w:i w:val="0"/>
                <w:color w:val="000000"/>
                <w:sz w:val="16"/>
              </w:rPr>
              <w:t>Evaluate controls, objectives, inspections, incidents, exposures and OH&amp;S performance.</w:t>
            </w:r>
          </w:p>
        </w:tc>
      </w:tr>
      <w:tr>
        <w:trPr>
          <w:cantSplit/>
        </w:trPr>
        <w:tc>
          <w:tcPr>
            <w:tcW w:type="dxa" w:w="2721"/>
            <w:tcMar>
              <w:top w:w="70" w:type="dxa"/>
              <w:left w:w="80" w:type="dxa"/>
              <w:bottom w:w="70" w:type="dxa"/>
              <w:right w:w="80" w:type="dxa"/>
            </w:tcMar>
          </w:tcPr>
          <w:p>
            <w:pPr>
              <w:spacing w:after="0"/>
              <w:jc w:val="left"/>
            </w:pPr>
            <w:r>
              <w:rPr>
                <w:rFonts w:ascii="Cambria" w:hAnsi="Cambria" w:eastAsia="Cambria"/>
                <w:b w:val="0"/>
                <w:i w:val="0"/>
                <w:color w:val="000000"/>
                <w:sz w:val="16"/>
              </w:rPr>
              <w:t>Compliance Evaluation</w:t>
            </w:r>
          </w:p>
        </w:tc>
        <w:tc>
          <w:tcPr>
            <w:tcW w:type="dxa" w:w="6633"/>
            <w:tcMar>
              <w:top w:w="70" w:type="dxa"/>
              <w:left w:w="80" w:type="dxa"/>
              <w:bottom w:w="70" w:type="dxa"/>
              <w:right w:w="80" w:type="dxa"/>
            </w:tcMar>
          </w:tcPr>
          <w:p>
            <w:pPr>
              <w:spacing w:after="0"/>
              <w:jc w:val="left"/>
            </w:pPr>
            <w:r>
              <w:rPr>
                <w:rFonts w:ascii="Cambria" w:hAnsi="Cambria" w:eastAsia="Cambria"/>
                <w:b w:val="0"/>
                <w:i w:val="0"/>
                <w:color w:val="000000"/>
                <w:sz w:val="16"/>
              </w:rPr>
              <w:t>Determine compliance with applicable legal/other requirements.</w:t>
            </w:r>
          </w:p>
        </w:tc>
      </w:tr>
      <w:tr>
        <w:trPr>
          <w:cantSplit/>
        </w:trPr>
        <w:tc>
          <w:tcPr>
            <w:tcW w:type="dxa" w:w="2721"/>
            <w:tcMar>
              <w:top w:w="70" w:type="dxa"/>
              <w:left w:w="80" w:type="dxa"/>
              <w:bottom w:w="70" w:type="dxa"/>
              <w:right w:w="80" w:type="dxa"/>
            </w:tcMar>
          </w:tcPr>
          <w:p>
            <w:pPr>
              <w:spacing w:after="0"/>
              <w:jc w:val="left"/>
            </w:pPr>
            <w:r>
              <w:rPr>
                <w:rFonts w:ascii="Cambria" w:hAnsi="Cambria" w:eastAsia="Cambria"/>
                <w:b w:val="0"/>
                <w:i w:val="0"/>
                <w:color w:val="000000"/>
                <w:sz w:val="16"/>
              </w:rPr>
              <w:t>Internal Audit</w:t>
            </w:r>
          </w:p>
        </w:tc>
        <w:tc>
          <w:tcPr>
            <w:tcW w:type="dxa" w:w="6633"/>
            <w:tcMar>
              <w:top w:w="70" w:type="dxa"/>
              <w:left w:w="80" w:type="dxa"/>
              <w:bottom w:w="70" w:type="dxa"/>
              <w:right w:w="80" w:type="dxa"/>
            </w:tcMar>
          </w:tcPr>
          <w:p>
            <w:pPr>
              <w:spacing w:after="0"/>
              <w:jc w:val="left"/>
            </w:pPr>
            <w:r>
              <w:rPr>
                <w:rFonts w:ascii="Cambria" w:hAnsi="Cambria" w:eastAsia="Cambria"/>
                <w:b w:val="0"/>
                <w:i w:val="0"/>
                <w:color w:val="000000"/>
                <w:sz w:val="16"/>
              </w:rPr>
              <w:t>Provide objective evidence on conformity and effective implementation.</w:t>
            </w:r>
          </w:p>
        </w:tc>
      </w:tr>
      <w:tr>
        <w:trPr>
          <w:cantSplit/>
        </w:trPr>
        <w:tc>
          <w:tcPr>
            <w:tcW w:type="dxa" w:w="2721"/>
            <w:tcMar>
              <w:top w:w="70" w:type="dxa"/>
              <w:left w:w="80" w:type="dxa"/>
              <w:bottom w:w="70" w:type="dxa"/>
              <w:right w:w="80" w:type="dxa"/>
            </w:tcMar>
          </w:tcPr>
          <w:p>
            <w:pPr>
              <w:spacing w:after="0"/>
              <w:jc w:val="left"/>
            </w:pPr>
            <w:r>
              <w:rPr>
                <w:rFonts w:ascii="Cambria" w:hAnsi="Cambria" w:eastAsia="Cambria"/>
                <w:b w:val="0"/>
                <w:i w:val="0"/>
                <w:color w:val="000000"/>
                <w:sz w:val="16"/>
              </w:rPr>
              <w:t>Management Review</w:t>
            </w:r>
          </w:p>
        </w:tc>
        <w:tc>
          <w:tcPr>
            <w:tcW w:type="dxa" w:w="6633"/>
            <w:tcMar>
              <w:top w:w="70" w:type="dxa"/>
              <w:left w:w="80" w:type="dxa"/>
              <w:bottom w:w="70" w:type="dxa"/>
              <w:right w:w="80" w:type="dxa"/>
            </w:tcMar>
          </w:tcPr>
          <w:p>
            <w:pPr>
              <w:spacing w:after="0"/>
              <w:jc w:val="left"/>
            </w:pPr>
            <w:r>
              <w:rPr>
                <w:rFonts w:ascii="Cambria" w:hAnsi="Cambria" w:eastAsia="Cambria"/>
                <w:b w:val="0"/>
                <w:i w:val="0"/>
                <w:color w:val="000000"/>
                <w:sz w:val="16"/>
              </w:rPr>
              <w:t>Evaluate suitability, adequacy, effectiveness, performance and resource/improvement needs.</w:t>
            </w:r>
          </w:p>
        </w:tc>
      </w:tr>
    </w:tbl>
    <w:p>
      <w:pPr>
        <w:spacing w:after="0"/>
      </w:pPr>
    </w:p>
    <w:p>
      <w:pPr>
        <w:keepNext/>
        <w:spacing w:before="120" w:after="50"/>
      </w:pPr>
      <w:r>
        <w:rPr>
          <w:rFonts w:ascii="Cambria" w:hAnsi="Cambria" w:eastAsia="Cambria"/>
          <w:b/>
          <w:i w:val="0"/>
          <w:color w:val="1F4E79"/>
          <w:sz w:val="24"/>
        </w:rPr>
        <w:t>15. Incident, Nonconformity and Improvement</w:t>
      </w:r>
    </w:p>
    <w:p>
      <w:pPr>
        <w:spacing w:after="50" w:line="245" w:lineRule="auto"/>
      </w:pPr>
      <w:r>
        <w:rPr>
          <w:rFonts w:ascii="Cambria" w:hAnsi="Cambria" w:eastAsia="Cambria"/>
          <w:b w:val="0"/>
          <w:i w:val="0"/>
          <w:color w:val="000000"/>
          <w:sz w:val="19"/>
        </w:rPr>
        <w:t>Incidents and nonconformities are reported and reacted to promptly. Investigations identify immediate and underlying causes, with worker participation where relevant. Corrective actions address causes, use the hierarchy of controls where appropriate and are verified for effectiveness. Learning is shared and risk assessments or controls are updated when needed.</w:t>
      </w:r>
    </w:p>
    <w:p>
      <w:pPr>
        <w:keepNext/>
        <w:spacing w:before="120" w:after="50"/>
      </w:pPr>
      <w:r>
        <w:rPr>
          <w:rFonts w:ascii="Cambria" w:hAnsi="Cambria" w:eastAsia="Cambria"/>
          <w:b/>
          <w:i w:val="0"/>
          <w:color w:val="1F4E79"/>
          <w:sz w:val="24"/>
        </w:rPr>
        <w:t>16. OH&amp;SMS Document Structure</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324"/>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Level</w:t>
            </w:r>
          </w:p>
        </w:tc>
        <w:tc>
          <w:tcPr>
            <w:tcW w:type="dxa" w:w="7030"/>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Typical Information</w:t>
            </w:r>
          </w:p>
        </w:tc>
      </w:tr>
      <w:tr>
        <w:trPr>
          <w:cantSplit/>
        </w:trPr>
        <w:tc>
          <w:tcPr>
            <w:tcW w:type="dxa" w:w="2324"/>
            <w:tcMar>
              <w:top w:w="70" w:type="dxa"/>
              <w:left w:w="80" w:type="dxa"/>
              <w:bottom w:w="70" w:type="dxa"/>
              <w:right w:w="80" w:type="dxa"/>
            </w:tcMar>
          </w:tcPr>
          <w:p>
            <w:pPr>
              <w:spacing w:after="0"/>
              <w:jc w:val="left"/>
            </w:pPr>
            <w:r>
              <w:rPr>
                <w:rFonts w:ascii="Cambria" w:hAnsi="Cambria" w:eastAsia="Cambria"/>
                <w:b w:val="0"/>
                <w:i w:val="0"/>
                <w:color w:val="000000"/>
                <w:sz w:val="16"/>
              </w:rPr>
              <w:t>Direction</w:t>
            </w:r>
          </w:p>
        </w:tc>
        <w:tc>
          <w:tcPr>
            <w:tcW w:type="dxa" w:w="7030"/>
            <w:tcMar>
              <w:top w:w="70" w:type="dxa"/>
              <w:left w:w="80" w:type="dxa"/>
              <w:bottom w:w="70" w:type="dxa"/>
              <w:right w:w="80" w:type="dxa"/>
            </w:tcMar>
          </w:tcPr>
          <w:p>
            <w:pPr>
              <w:spacing w:after="0"/>
              <w:jc w:val="left"/>
            </w:pPr>
            <w:r>
              <w:rPr>
                <w:rFonts w:ascii="Cambria" w:hAnsi="Cambria" w:eastAsia="Cambria"/>
                <w:b w:val="0"/>
                <w:i w:val="0"/>
                <w:color w:val="000000"/>
                <w:sz w:val="16"/>
              </w:rPr>
              <w:t>OH&amp;S Policy, scope and management-system manual.</w:t>
            </w:r>
          </w:p>
        </w:tc>
      </w:tr>
      <w:tr>
        <w:trPr>
          <w:cantSplit/>
        </w:trPr>
        <w:tc>
          <w:tcPr>
            <w:tcW w:type="dxa" w:w="2324"/>
            <w:tcMar>
              <w:top w:w="70" w:type="dxa"/>
              <w:left w:w="80" w:type="dxa"/>
              <w:bottom w:w="70" w:type="dxa"/>
              <w:right w:w="80" w:type="dxa"/>
            </w:tcMar>
          </w:tcPr>
          <w:p>
            <w:pPr>
              <w:spacing w:after="0"/>
              <w:jc w:val="left"/>
            </w:pPr>
            <w:r>
              <w:rPr>
                <w:rFonts w:ascii="Cambria" w:hAnsi="Cambria" w:eastAsia="Cambria"/>
                <w:b w:val="0"/>
                <w:i w:val="0"/>
                <w:color w:val="000000"/>
                <w:sz w:val="16"/>
              </w:rPr>
              <w:t>Governance / Method</w:t>
            </w:r>
          </w:p>
        </w:tc>
        <w:tc>
          <w:tcPr>
            <w:tcW w:type="dxa" w:w="7030"/>
            <w:tcMar>
              <w:top w:w="70" w:type="dxa"/>
              <w:left w:w="80" w:type="dxa"/>
              <w:bottom w:w="70" w:type="dxa"/>
              <w:right w:w="80" w:type="dxa"/>
            </w:tcMar>
          </w:tcPr>
          <w:p>
            <w:pPr>
              <w:spacing w:after="0"/>
              <w:jc w:val="left"/>
            </w:pPr>
            <w:r>
              <w:rPr>
                <w:rFonts w:ascii="Cambria" w:hAnsi="Cambria" w:eastAsia="Cambria"/>
                <w:b w:val="0"/>
                <w:i w:val="0"/>
                <w:color w:val="000000"/>
                <w:sz w:val="16"/>
              </w:rPr>
              <w:t>Risk, legal, consultation, incident, audit, emergency and operational procedures/guidance.</w:t>
            </w:r>
          </w:p>
        </w:tc>
      </w:tr>
      <w:tr>
        <w:trPr>
          <w:cantSplit/>
        </w:trPr>
        <w:tc>
          <w:tcPr>
            <w:tcW w:type="dxa" w:w="2324"/>
            <w:tcMar>
              <w:top w:w="70" w:type="dxa"/>
              <w:left w:w="80" w:type="dxa"/>
              <w:bottom w:w="70" w:type="dxa"/>
              <w:right w:w="80" w:type="dxa"/>
            </w:tcMar>
          </w:tcPr>
          <w:p>
            <w:pPr>
              <w:spacing w:after="0"/>
              <w:jc w:val="left"/>
            </w:pPr>
            <w:r>
              <w:rPr>
                <w:rFonts w:ascii="Cambria" w:hAnsi="Cambria" w:eastAsia="Cambria"/>
                <w:b w:val="0"/>
                <w:i w:val="0"/>
                <w:color w:val="000000"/>
                <w:sz w:val="16"/>
              </w:rPr>
              <w:t>Planning / Control</w:t>
            </w:r>
          </w:p>
        </w:tc>
        <w:tc>
          <w:tcPr>
            <w:tcW w:type="dxa" w:w="7030"/>
            <w:tcMar>
              <w:top w:w="70" w:type="dxa"/>
              <w:left w:w="80" w:type="dxa"/>
              <w:bottom w:w="70" w:type="dxa"/>
              <w:right w:w="80" w:type="dxa"/>
            </w:tcMar>
          </w:tcPr>
          <w:p>
            <w:pPr>
              <w:spacing w:after="0"/>
              <w:jc w:val="left"/>
            </w:pPr>
            <w:r>
              <w:rPr>
                <w:rFonts w:ascii="Cambria" w:hAnsi="Cambria" w:eastAsia="Cambria"/>
                <w:b w:val="0"/>
                <w:i w:val="0"/>
                <w:color w:val="000000"/>
                <w:sz w:val="16"/>
              </w:rPr>
              <w:t>Risk register, objectives, emergency plans, audit programme and action plans.</w:t>
            </w:r>
          </w:p>
        </w:tc>
      </w:tr>
      <w:tr>
        <w:trPr>
          <w:cantSplit/>
        </w:trPr>
        <w:tc>
          <w:tcPr>
            <w:tcW w:type="dxa" w:w="2324"/>
            <w:tcMar>
              <w:top w:w="70" w:type="dxa"/>
              <w:left w:w="80" w:type="dxa"/>
              <w:bottom w:w="70" w:type="dxa"/>
              <w:right w:w="80" w:type="dxa"/>
            </w:tcMar>
          </w:tcPr>
          <w:p>
            <w:pPr>
              <w:spacing w:after="0"/>
              <w:jc w:val="left"/>
            </w:pPr>
            <w:r>
              <w:rPr>
                <w:rFonts w:ascii="Cambria" w:hAnsi="Cambria" w:eastAsia="Cambria"/>
                <w:b w:val="0"/>
                <w:i w:val="0"/>
                <w:color w:val="000000"/>
                <w:sz w:val="16"/>
              </w:rPr>
              <w:t>Operational Evidence</w:t>
            </w:r>
          </w:p>
        </w:tc>
        <w:tc>
          <w:tcPr>
            <w:tcW w:type="dxa" w:w="7030"/>
            <w:tcMar>
              <w:top w:w="70" w:type="dxa"/>
              <w:left w:w="80" w:type="dxa"/>
              <w:bottom w:w="70" w:type="dxa"/>
              <w:right w:w="80" w:type="dxa"/>
            </w:tcMar>
          </w:tcPr>
          <w:p>
            <w:pPr>
              <w:spacing w:after="0"/>
              <w:jc w:val="left"/>
            </w:pPr>
            <w:r>
              <w:rPr>
                <w:rFonts w:ascii="Cambria" w:hAnsi="Cambria" w:eastAsia="Cambria"/>
                <w:b w:val="0"/>
                <w:i w:val="0"/>
                <w:color w:val="000000"/>
                <w:sz w:val="16"/>
              </w:rPr>
              <w:t>Inspection, training, permit, incident, monitoring, consultation, audit and review records.</w:t>
            </w:r>
          </w:p>
        </w:tc>
      </w:tr>
    </w:tbl>
    <w:p>
      <w:pPr>
        <w:spacing w:after="0"/>
      </w:pPr>
    </w:p>
    <w:p>
      <w:pPr>
        <w:keepNext/>
        <w:spacing w:before="120" w:after="50"/>
      </w:pPr>
      <w:r>
        <w:rPr>
          <w:rFonts w:ascii="Cambria" w:hAnsi="Cambria" w:eastAsia="Cambria"/>
          <w:b/>
          <w:i w:val="0"/>
          <w:color w:val="1F4E79"/>
          <w:sz w:val="24"/>
        </w:rPr>
        <w:t>Approval and Revision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blHeader w:val="true"/>
        </w:trPr>
        <w:tc>
          <w:tcPr>
            <w:tcW w:type="dxa" w:w="2381"/>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Role</w:t>
            </w:r>
          </w:p>
        </w:tc>
        <w:tc>
          <w:tcPr>
            <w:tcW w:type="dxa" w:w="3118"/>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Name / Position</w:t>
            </w:r>
          </w:p>
        </w:tc>
        <w:tc>
          <w:tcPr>
            <w:tcW w:type="dxa" w:w="2268"/>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Approval / Signature</w:t>
            </w:r>
          </w:p>
        </w:tc>
        <w:tc>
          <w:tcPr>
            <w:tcW w:type="dxa" w:w="1587"/>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6"/>
              </w:rPr>
              <w:t>Date</w:t>
            </w:r>
          </w:p>
        </w:tc>
      </w:tr>
      <w:tr>
        <w:trPr>
          <w:cantSplit/>
        </w:trPr>
        <w:tc>
          <w:tcPr>
            <w:tcW w:type="dxa" w:w="2381"/>
            <w:tcMar>
              <w:top w:w="70" w:type="dxa"/>
              <w:left w:w="80" w:type="dxa"/>
              <w:bottom w:w="70" w:type="dxa"/>
              <w:right w:w="80" w:type="dxa"/>
            </w:tcMar>
          </w:tcPr>
          <w:p>
            <w:pPr>
              <w:spacing w:after="0"/>
              <w:jc w:val="left"/>
            </w:pPr>
            <w:r>
              <w:rPr>
                <w:rFonts w:ascii="Cambria" w:hAnsi="Cambria" w:eastAsia="Cambria"/>
                <w:b w:val="0"/>
                <w:i w:val="0"/>
                <w:color w:val="000000"/>
                <w:sz w:val="16"/>
              </w:rPr>
              <w:t>Prepared / Maintained by</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6"/>
              </w:rPr>
              <w:t>OH&amp;S Manager / OH&amp;SMS Manager</w:t>
            </w:r>
          </w:p>
        </w:tc>
        <w:tc>
          <w:tcPr>
            <w:tcW w:type="dxa" w:w="2268"/>
            <w:tcMar>
              <w:top w:w="70" w:type="dxa"/>
              <w:left w:w="80" w:type="dxa"/>
              <w:bottom w:w="70" w:type="dxa"/>
              <w:right w:w="80" w:type="dxa"/>
            </w:tcMar>
          </w:tcPr>
          <w:p>
            <w:pPr>
              <w:spacing w:after="0"/>
              <w:jc w:val="left"/>
            </w:pPr>
            <w:r>
              <w:rPr>
                <w:rFonts w:ascii="Cambria" w:hAnsi="Cambria" w:eastAsia="Cambria"/>
                <w:b w:val="0"/>
                <w:i w:val="0"/>
                <w:color w:val="000000"/>
                <w:sz w:val="16"/>
              </w:rPr>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6"/>
              </w:rPr>
            </w:r>
          </w:p>
        </w:tc>
      </w:tr>
      <w:tr>
        <w:trPr>
          <w:cantSplit/>
        </w:trPr>
        <w:tc>
          <w:tcPr>
            <w:tcW w:type="dxa" w:w="2381"/>
            <w:tcMar>
              <w:top w:w="70" w:type="dxa"/>
              <w:left w:w="80" w:type="dxa"/>
              <w:bottom w:w="70" w:type="dxa"/>
              <w:right w:w="80" w:type="dxa"/>
            </w:tcMar>
          </w:tcPr>
          <w:p>
            <w:pPr>
              <w:spacing w:after="0"/>
              <w:jc w:val="left"/>
            </w:pPr>
            <w:r>
              <w:rPr>
                <w:rFonts w:ascii="Cambria" w:hAnsi="Cambria" w:eastAsia="Cambria"/>
                <w:b w:val="0"/>
                <w:i w:val="0"/>
                <w:color w:val="000000"/>
                <w:sz w:val="16"/>
              </w:rPr>
              <w:t>Reviewed by</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6"/>
              </w:rPr>
              <w:t>[REVIEWER / FUNCTION]</w:t>
            </w:r>
          </w:p>
        </w:tc>
        <w:tc>
          <w:tcPr>
            <w:tcW w:type="dxa" w:w="2268"/>
            <w:tcMar>
              <w:top w:w="70" w:type="dxa"/>
              <w:left w:w="80" w:type="dxa"/>
              <w:bottom w:w="70" w:type="dxa"/>
              <w:right w:w="80" w:type="dxa"/>
            </w:tcMar>
          </w:tcPr>
          <w:p>
            <w:pPr>
              <w:spacing w:after="0"/>
              <w:jc w:val="left"/>
            </w:pPr>
            <w:r>
              <w:rPr>
                <w:rFonts w:ascii="Cambria" w:hAnsi="Cambria" w:eastAsia="Cambria"/>
                <w:b w:val="0"/>
                <w:i w:val="0"/>
                <w:color w:val="000000"/>
                <w:sz w:val="16"/>
              </w:rPr>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6"/>
              </w:rPr>
            </w:r>
          </w:p>
        </w:tc>
      </w:tr>
      <w:tr>
        <w:trPr>
          <w:cantSplit/>
        </w:trPr>
        <w:tc>
          <w:tcPr>
            <w:tcW w:type="dxa" w:w="2381"/>
            <w:tcMar>
              <w:top w:w="70" w:type="dxa"/>
              <w:left w:w="80" w:type="dxa"/>
              <w:bottom w:w="70" w:type="dxa"/>
              <w:right w:w="80" w:type="dxa"/>
            </w:tcMar>
          </w:tcPr>
          <w:p>
            <w:pPr>
              <w:spacing w:after="0"/>
              <w:jc w:val="left"/>
            </w:pPr>
            <w:r>
              <w:rPr>
                <w:rFonts w:ascii="Cambria" w:hAnsi="Cambria" w:eastAsia="Cambria"/>
                <w:b w:val="0"/>
                <w:i w:val="0"/>
                <w:color w:val="000000"/>
                <w:sz w:val="16"/>
              </w:rPr>
              <w:t>Approved by</w:t>
            </w:r>
          </w:p>
        </w:tc>
        <w:tc>
          <w:tcPr>
            <w:tcW w:type="dxa" w:w="3118"/>
            <w:tcMar>
              <w:top w:w="70" w:type="dxa"/>
              <w:left w:w="80" w:type="dxa"/>
              <w:bottom w:w="70" w:type="dxa"/>
              <w:right w:w="80" w:type="dxa"/>
            </w:tcMar>
          </w:tcPr>
          <w:p>
            <w:pPr>
              <w:spacing w:after="0"/>
              <w:jc w:val="left"/>
            </w:pPr>
            <w:r>
              <w:rPr>
                <w:rFonts w:ascii="Cambria" w:hAnsi="Cambria" w:eastAsia="Cambria"/>
                <w:b w:val="0"/>
                <w:i w:val="0"/>
                <w:color w:val="000000"/>
                <w:sz w:val="16"/>
              </w:rPr>
              <w:t>Top Management</w:t>
            </w:r>
          </w:p>
        </w:tc>
        <w:tc>
          <w:tcPr>
            <w:tcW w:type="dxa" w:w="2268"/>
            <w:tcMar>
              <w:top w:w="70" w:type="dxa"/>
              <w:left w:w="80" w:type="dxa"/>
              <w:bottom w:w="70" w:type="dxa"/>
              <w:right w:w="80" w:type="dxa"/>
            </w:tcMar>
          </w:tcPr>
          <w:p>
            <w:pPr>
              <w:spacing w:after="0"/>
              <w:jc w:val="left"/>
            </w:pPr>
            <w:r>
              <w:rPr>
                <w:rFonts w:ascii="Cambria" w:hAnsi="Cambria" w:eastAsia="Cambria"/>
                <w:b w:val="0"/>
                <w:i w:val="0"/>
                <w:color w:val="000000"/>
                <w:sz w:val="16"/>
              </w:rPr>
            </w:r>
          </w:p>
        </w:tc>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6"/>
              </w:rPr>
            </w:r>
          </w:p>
        </w:tc>
      </w:tr>
    </w:tbl>
    <w:p>
      <w:pPr>
        <w:spacing w:after="0"/>
      </w:pPr>
    </w:p>
    <w:p>
      <w:pPr>
        <w:keepNext/>
        <w:spacing w:before="60" w:after="50"/>
      </w:pPr>
      <w:r>
        <w:rPr>
          <w:rFonts w:ascii="Cambria" w:hAnsi="Cambria" w:eastAsia="Cambria"/>
          <w:b/>
          <w:i w:val="0"/>
          <w:color w:val="000000"/>
          <w:sz w:val="21"/>
        </w:rPr>
        <w:t>Revision History</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587"/>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7"/>
              </w:rPr>
              <w:t>Version</w:t>
            </w:r>
          </w:p>
        </w:tc>
        <w:tc>
          <w:tcPr>
            <w:tcW w:type="dxa" w:w="2154"/>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7"/>
              </w:rPr>
              <w:t>Date</w:t>
            </w:r>
          </w:p>
        </w:tc>
        <w:tc>
          <w:tcPr>
            <w:tcW w:type="dxa" w:w="5613"/>
            <w:shd w:val="clear" w:color="auto" w:fill="EAF3F8"/>
            <w:tcMar>
              <w:top w:w="70" w:type="dxa"/>
              <w:left w:w="80" w:type="dxa"/>
              <w:bottom w:w="70" w:type="dxa"/>
              <w:right w:w="80" w:type="dxa"/>
            </w:tcMar>
          </w:tcPr>
          <w:p>
            <w:pPr>
              <w:spacing w:after="0"/>
              <w:jc w:val="center"/>
            </w:pPr>
            <w:r>
              <w:rPr>
                <w:rFonts w:ascii="Cambria" w:hAnsi="Cambria" w:eastAsia="Cambria"/>
                <w:b/>
                <w:i w:val="0"/>
                <w:color w:val="000000"/>
                <w:sz w:val="17"/>
              </w:rPr>
              <w:t>Description</w:t>
            </w:r>
          </w:p>
        </w:tc>
      </w:tr>
      <w:tr>
        <w:trPr>
          <w:cantSplit/>
        </w:trPr>
        <w:tc>
          <w:tcPr>
            <w:tcW w:type="dxa" w:w="1587"/>
            <w:tcMar>
              <w:top w:w="70" w:type="dxa"/>
              <w:left w:w="80" w:type="dxa"/>
              <w:bottom w:w="70" w:type="dxa"/>
              <w:right w:w="80" w:type="dxa"/>
            </w:tcMar>
          </w:tcPr>
          <w:p>
            <w:pPr>
              <w:spacing w:after="0"/>
              <w:jc w:val="left"/>
            </w:pPr>
            <w:r>
              <w:rPr>
                <w:rFonts w:ascii="Cambria" w:hAnsi="Cambria" w:eastAsia="Cambria"/>
                <w:b w:val="0"/>
                <w:i w:val="0"/>
                <w:color w:val="000000"/>
                <w:sz w:val="17"/>
              </w:rPr>
              <w:t>1.0</w:t>
            </w:r>
          </w:p>
        </w:tc>
        <w:tc>
          <w:tcPr>
            <w:tcW w:type="dxa" w:w="2154"/>
            <w:tcMar>
              <w:top w:w="70" w:type="dxa"/>
              <w:left w:w="80" w:type="dxa"/>
              <w:bottom w:w="70" w:type="dxa"/>
              <w:right w:w="80" w:type="dxa"/>
            </w:tcMar>
          </w:tcPr>
          <w:p>
            <w:pPr>
              <w:spacing w:after="0"/>
              <w:jc w:val="left"/>
            </w:pPr>
            <w:r>
              <w:rPr>
                <w:rFonts w:ascii="Cambria" w:hAnsi="Cambria" w:eastAsia="Cambria"/>
                <w:b w:val="0"/>
                <w:i w:val="0"/>
                <w:color w:val="000000"/>
                <w:sz w:val="17"/>
              </w:rPr>
              <w:t>2026-09-18</w:t>
            </w:r>
          </w:p>
        </w:tc>
        <w:tc>
          <w:tcPr>
            <w:tcW w:type="dxa" w:w="5613"/>
            <w:tcMar>
              <w:top w:w="70" w:type="dxa"/>
              <w:left w:w="80" w:type="dxa"/>
              <w:bottom w:w="70" w:type="dxa"/>
              <w:right w:w="80" w:type="dxa"/>
            </w:tcMar>
          </w:tcPr>
          <w:p>
            <w:pPr>
              <w:spacing w:after="0"/>
              <w:jc w:val="left"/>
            </w:pPr>
            <w:r>
              <w:rPr>
                <w:rFonts w:ascii="Cambria" w:hAnsi="Cambria" w:eastAsia="Cambria"/>
                <w:b w:val="0"/>
                <w:i w:val="0"/>
                <w:color w:val="000000"/>
                <w:sz w:val="17"/>
              </w:rPr>
              <w:t>Initial issue</w:t>
            </w:r>
          </w:p>
        </w:tc>
      </w:tr>
    </w:tbl>
    <w:p>
      <w:pPr>
        <w:spacing w:after="0"/>
      </w:pPr>
    </w:p>
    <w:sectPr w:rsidR="00FC693F" w:rsidRPr="0006063C" w:rsidSect="00034616">
      <w:headerReference w:type="default" r:id="rId9"/>
      <w:footerReference w:type="default" r:id="rId10"/>
      <w:pgSz w:w="11906" w:h="16838"/>
      <w:pgMar w:top="1134" w:right="1134" w:bottom="1134" w:left="1417" w:header="397" w:footer="397"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spacing w:after="0"/>
      <w:jc w:val="center"/>
    </w:pPr>
    <w:r>
      <w:rPr>
        <w:rFonts w:ascii="Cambria" w:hAnsi="Cambria" w:eastAsia="Cambria"/>
        <w:b w:val="0"/>
        <w:i w:val="0"/>
        <w:color w:val="666666"/>
        <w:sz w:val="16"/>
      </w:rPr>
      <w:t>Copyright © ISO Toolkits | www.iso-toolkits.org | info@iso-toolkits.org</w:t>
    </w:r>
  </w:p>
  <w:p>
    <w:pPr>
      <w:spacing w:before="0" w:after="0"/>
      <w:jc w:val="center"/>
    </w:pPr>
    <w:r>
      <w:rPr>
        <w:rFonts w:ascii="Cambria" w:hAnsi="Cambria" w:eastAsia="Cambria"/>
        <w:b w:val="0"/>
        <w:i w:val="0"/>
        <w:color w:val="666666"/>
        <w:sz w:val="16"/>
      </w:rPr>
      <w:t xml:space="preserve">CONTROLLED DOCUMENT | INTERNAL | Page </w:t>
    </w:r>
    <w:r>
      <w:fldChar w:fldCharType="begin"/>
    </w:r>
    <w:r>
      <w:instrText xml:space="preserve"> PAGE </w:instrText>
    </w:r>
    <w:r>
      <w:fldChar w:fldCharType="separate"/>
    </w:r>
    <w:r>
      <w:rPr>
        <w:rFonts w:ascii="Cambria" w:hAnsi="Cambria" w:eastAsia="Cambria"/>
        <w:b w:val="0"/>
        <w:i w:val="0"/>
        <w:color w:val="666666"/>
        <w:sz w:val="16"/>
      </w:rPr>
      <w:t>1</w:t>
    </w:r>
    <w:r>
      <w:fldChar w:fldCharType="end"/>
    </w:r>
    <w:r>
      <w:rPr>
        <w:rFonts w:ascii="Cambria" w:hAnsi="Cambria" w:eastAsia="Cambria"/>
        <w:b w:val="0"/>
        <w:i w:val="0"/>
        <w:color w:val="666666"/>
        <w:sz w:val="16"/>
      </w:rPr>
      <w:t xml:space="preserve"> of </w:t>
    </w:r>
    <w:r>
      <w:fldChar w:fldCharType="begin"/>
    </w:r>
    <w:r>
      <w:instrText xml:space="preserve"> NUMPAGES </w:instrText>
    </w:r>
    <w:r>
      <w:fldChar w:fldCharType="separate"/>
    </w:r>
    <w:r>
      <w:rPr>
        <w:rFonts w:ascii="Cambria" w:hAnsi="Cambria" w:eastAsia="Cambria"/>
        <w:b w:val="0"/>
        <w:i w:val="0"/>
        <w:color w:val="666666"/>
        <w:sz w:val="16"/>
      </w:rPr>
      <w:t>1</w:t>
    </w:r>
    <w:r>
      <w:fldChar w:fldCharType="end"/>
    </w:r>
  </w:p>
</w:ftr>
</file>

<file path=word/header1.xml><?xml version="1.0" encoding="utf-8"?>
<w:hdr xmlns:w="http://schemas.openxmlformats.org/wordprocessingml/2006/main">
  <w:p>
    <w:pPr>
      <w:pStyle w:val="Header"/>
      <w:spacing w:after="0"/>
    </w:pPr>
  </w:p>
  <w:tbl>
    <w:tblPr>
      <w:tblW w:type="auto" w:w="0"/>
      <w:jc w:val="center"/>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Layout w:type="fixed"/>
      <w:tblLook w:val="04A0"/>
    </w:tblPr>
    <w:tblGrid>
      <w:gridCol w:w="3118"/>
      <w:gridCol w:w="3118"/>
      <w:gridCol w:w="3118"/>
    </w:tblGrid>
    <w:tr>
      <w:tc>
        <w:tcPr>
          <w:tcW w:type="dxa" w:w="2041"/>
          <w:tcMar>
            <w:top w:w="45" w:type="dxa"/>
            <w:left w:w="65" w:type="dxa"/>
            <w:bottom w:w="45" w:type="dxa"/>
            <w:right w:w="65" w:type="dxa"/>
          </w:tcMar>
          <w:vAlign w:val="center"/>
        </w:tcPr>
        <w:p>
          <w:pPr>
            <w:jc w:val="center"/>
          </w:pPr>
          <w:r>
            <w:rPr>
              <w:rFonts w:ascii="Cambria" w:hAnsi="Cambria" w:eastAsia="Cambria"/>
              <w:b/>
              <w:i w:val="0"/>
              <w:color w:val="1F4E79"/>
              <w:sz w:val="16"/>
            </w:rPr>
            <w:t>ORGANIZATION</w:t>
            <w:br/>
            <w:t>LOGO</w:t>
          </w:r>
        </w:p>
      </w:tc>
      <w:tc>
        <w:tcPr>
          <w:tcW w:type="dxa" w:w="4932"/>
          <w:tcMar>
            <w:top w:w="45" w:type="dxa"/>
            <w:left w:w="65" w:type="dxa"/>
            <w:bottom w:w="45" w:type="dxa"/>
            <w:right w:w="65" w:type="dxa"/>
          </w:tcMar>
          <w:vAlign w:val="center"/>
        </w:tcPr>
        <w:p>
          <w:pPr>
            <w:jc w:val="center"/>
          </w:pPr>
          <w:r>
            <w:rPr>
              <w:rFonts w:ascii="Cambria" w:hAnsi="Cambria" w:eastAsia="Cambria"/>
              <w:b/>
              <w:i w:val="0"/>
              <w:color w:val="1F4E79"/>
              <w:sz w:val="16"/>
            </w:rPr>
            <w:t>ORGANIZATION NAME</w:t>
            <w:br/>
          </w:r>
          <w:r>
            <w:rPr>
              <w:rFonts w:ascii="Cambria" w:hAnsi="Cambria" w:eastAsia="Cambria"/>
              <w:b/>
              <w:i w:val="0"/>
              <w:color w:val="000000"/>
              <w:sz w:val="18"/>
            </w:rPr>
            <w:t>Occupational Health &amp; Safety Manual</w:t>
          </w:r>
        </w:p>
      </w:tc>
      <w:tc>
        <w:tcPr>
          <w:tcW w:type="dxa" w:w="2381"/>
          <w:tcMar>
            <w:top w:w="45" w:type="dxa"/>
            <w:left w:w="65" w:type="dxa"/>
            <w:bottom w:w="45" w:type="dxa"/>
            <w:right w:w="65" w:type="dxa"/>
          </w:tcMar>
          <w:vAlign w:val="center"/>
        </w:tcPr>
        <w:p>
          <w:pPr>
            <w:jc w:val="center"/>
          </w:pPr>
          <w:r>
            <w:rPr>
              <w:rFonts w:ascii="Cambria" w:hAnsi="Cambria" w:eastAsia="Cambria"/>
              <w:b w:val="0"/>
              <w:i w:val="0"/>
              <w:color w:val="000000"/>
              <w:sz w:val="14"/>
            </w:rPr>
            <w:t>OHSMS-MAN-001</w:t>
            <w:br/>
            <w:t>Version 1.0</w:t>
            <w:br/>
            <w:t>Effective 2026-09-18</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mbria" w:hAnsi="Cambri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Health &amp; Safety Manual</dc:title>
  <dc:subject>Practical OH&amp;SMS manual describing scope, governance, worker participation, risk-based operation, evaluation and improvement.</dc:subject>
  <dc:creator>ISO Toolkits</dc:creator>
  <cp:keywords>ISO 45001:2018, Amendment 1:2024, OH&amp;S, OHSMS</cp:keywords>
  <dc:description>Built using Word 2007-compatible OOXML rules.</dc:description>
  <cp:lastModifiedBy/>
  <cp:revision>1</cp:revision>
  <dcterms:created xsi:type="dcterms:W3CDTF">2013-12-23T23:15:00Z</dcterms:created>
  <dcterms:modified xsi:type="dcterms:W3CDTF">2013-12-23T23:15:00Z</dcterms:modified>
  <cp:category/>
</cp:coreProperties>
</file>