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140" w:after="40"/>
        <w:jc w:val="center"/>
      </w:pPr>
      <w:r>
        <w:rPr>
          <w:rFonts w:ascii="Cambria" w:hAnsi="Cambria" w:eastAsia="Cambria"/>
          <w:b/>
          <w:i w:val="0"/>
          <w:color w:val="1F4E79"/>
          <w:sz w:val="36"/>
        </w:rPr>
        <w:t>OH&amp;S POLICY, OBJECTIVES &amp; INDICATORS GUIDANCE</w:t>
      </w:r>
    </w:p>
    <w:p>
      <w:pPr>
        <w:spacing w:after="100"/>
        <w:jc w:val="center"/>
      </w:pPr>
      <w:r>
        <w:rPr>
          <w:rFonts w:ascii="Cambria" w:hAnsi="Cambria" w:eastAsia="Cambria"/>
          <w:b/>
          <w:i w:val="0"/>
          <w:color w:val="000000"/>
          <w:sz w:val="18"/>
        </w:rPr>
        <w:t>ISO 45001:2018 + Amendment 1:2024</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Document Owner</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OH&amp;S Manager / OH&amp;SMS Manager</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Approver</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Top Management</w:t>
            </w:r>
          </w:p>
        </w:tc>
      </w:tr>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Classification</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INTERNAL</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Next Review</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2027-09-18</w:t>
            </w:r>
          </w:p>
        </w:tc>
      </w:tr>
    </w:tbl>
    <w:p>
      <w:pPr>
        <w:keepNext/>
        <w:spacing w:before="120" w:after="50"/>
      </w:pPr>
      <w:r>
        <w:rPr>
          <w:rFonts w:ascii="Cambria" w:hAnsi="Cambria" w:eastAsia="Cambria"/>
          <w:b/>
          <w:i w:val="0"/>
          <w:color w:val="1F4E79"/>
          <w:sz w:val="24"/>
        </w:rPr>
        <w:t>1. Purpose and Use</w:t>
      </w:r>
    </w:p>
    <w:p>
      <w:pPr>
        <w:spacing w:after="50" w:line="245" w:lineRule="auto"/>
      </w:pPr>
      <w:r>
        <w:rPr>
          <w:rFonts w:ascii="Cambria" w:hAnsi="Cambria" w:eastAsia="Cambria"/>
          <w:b w:val="0"/>
          <w:i w:val="0"/>
          <w:color w:val="000000"/>
          <w:sz w:val="19"/>
        </w:rPr>
        <w:t>Use this guidance to establish an OH&amp;S policy that gives clear direction, convert policy commitments into measurable objectives and select indicators that support timely management decisions and worker protection.</w:t>
      </w:r>
    </w:p>
    <w:p>
      <w:pPr>
        <w:keepNext/>
        <w:spacing w:before="120" w:after="50"/>
      </w:pPr>
      <w:r>
        <w:rPr>
          <w:rFonts w:ascii="Cambria" w:hAnsi="Cambria" w:eastAsia="Cambria"/>
          <w:b/>
          <w:i w:val="0"/>
          <w:color w:val="1F4E79"/>
          <w:sz w:val="24"/>
        </w:rPr>
        <w:t>2. Policy - Practical Design</w:t>
      </w:r>
    </w:p>
    <w:p>
      <w:pPr>
        <w:spacing w:after="50" w:line="245" w:lineRule="auto"/>
      </w:pPr>
      <w:r>
        <w:rPr>
          <w:rFonts w:ascii="Cambria" w:hAnsi="Cambria" w:eastAsia="Cambria"/>
          <w:b w:val="0"/>
          <w:i w:val="0"/>
          <w:color w:val="000000"/>
          <w:sz w:val="19"/>
        </w:rPr>
        <w:t>A useful OH&amp;S policy should be concise, relevant to the organization’s hazards and context, understandable to workers and stable enough to guide decisions. Avoid turning the policy into a long technical procedure.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494"/>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Policy Element</w:t>
            </w:r>
          </w:p>
        </w:tc>
        <w:tc>
          <w:tcPr>
            <w:tcW w:type="dxa" w:w="6860"/>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Practical Content</w:t>
            </w:r>
          </w:p>
        </w:tc>
      </w:tr>
      <w:tr>
        <w:trPr>
          <w:cantSplit/>
        </w:trPr>
        <w:tc>
          <w:tcPr>
            <w:tcW w:type="dxa" w:w="2494"/>
            <w:tcMar>
              <w:top w:w="70" w:type="dxa"/>
              <w:left w:w="80" w:type="dxa"/>
              <w:bottom w:w="70" w:type="dxa"/>
              <w:right w:w="80" w:type="dxa"/>
            </w:tcMar>
          </w:tcPr>
          <w:p>
            <w:pPr>
              <w:spacing w:after="0"/>
              <w:jc w:val="left"/>
            </w:pPr>
            <w:r>
              <w:rPr>
                <w:rFonts w:ascii="Cambria" w:hAnsi="Cambria" w:eastAsia="Cambria"/>
                <w:b w:val="0"/>
                <w:i w:val="0"/>
                <w:color w:val="000000"/>
                <w:sz w:val="15"/>
              </w:rPr>
              <w:t>Purpose / direction</w:t>
            </w:r>
          </w:p>
        </w:tc>
        <w:tc>
          <w:tcPr>
            <w:tcW w:type="dxa" w:w="6860"/>
            <w:tcMar>
              <w:top w:w="70" w:type="dxa"/>
              <w:left w:w="80" w:type="dxa"/>
              <w:bottom w:w="70" w:type="dxa"/>
              <w:right w:w="80" w:type="dxa"/>
            </w:tcMar>
          </w:tcPr>
          <w:p>
            <w:pPr>
              <w:spacing w:after="0"/>
              <w:jc w:val="left"/>
            </w:pPr>
            <w:r>
              <w:rPr>
                <w:rFonts w:ascii="Cambria" w:hAnsi="Cambria" w:eastAsia="Cambria"/>
                <w:b w:val="0"/>
                <w:i w:val="0"/>
                <w:color w:val="000000"/>
                <w:sz w:val="15"/>
              </w:rPr>
              <w:t>Why OH&amp;S matters to the organization and how safe and healthy work supports business and people.</w:t>
            </w:r>
          </w:p>
        </w:tc>
      </w:tr>
      <w:tr>
        <w:trPr>
          <w:cantSplit/>
        </w:trPr>
        <w:tc>
          <w:tcPr>
            <w:tcW w:type="dxa" w:w="2494"/>
            <w:tcMar>
              <w:top w:w="70" w:type="dxa"/>
              <w:left w:w="80" w:type="dxa"/>
              <w:bottom w:w="70" w:type="dxa"/>
              <w:right w:w="80" w:type="dxa"/>
            </w:tcMar>
          </w:tcPr>
          <w:p>
            <w:pPr>
              <w:spacing w:after="0"/>
              <w:jc w:val="left"/>
            </w:pPr>
            <w:r>
              <w:rPr>
                <w:rFonts w:ascii="Cambria" w:hAnsi="Cambria" w:eastAsia="Cambria"/>
                <w:b w:val="0"/>
                <w:i w:val="0"/>
                <w:color w:val="000000"/>
                <w:sz w:val="15"/>
              </w:rPr>
              <w:t>Scope / applicability</w:t>
            </w:r>
          </w:p>
        </w:tc>
        <w:tc>
          <w:tcPr>
            <w:tcW w:type="dxa" w:w="6860"/>
            <w:tcMar>
              <w:top w:w="70" w:type="dxa"/>
              <w:left w:w="80" w:type="dxa"/>
              <w:bottom w:w="70" w:type="dxa"/>
              <w:right w:w="80" w:type="dxa"/>
            </w:tcMar>
          </w:tcPr>
          <w:p>
            <w:pPr>
              <w:spacing w:after="0"/>
              <w:jc w:val="left"/>
            </w:pPr>
            <w:r>
              <w:rPr>
                <w:rFonts w:ascii="Cambria" w:hAnsi="Cambria" w:eastAsia="Cambria"/>
                <w:b w:val="0"/>
                <w:i w:val="0"/>
                <w:color w:val="000000"/>
                <w:sz w:val="15"/>
              </w:rPr>
              <w:t>Who and what the policy applies to, aligned with OH&amp;SMS scope.</w:t>
            </w:r>
          </w:p>
        </w:tc>
      </w:tr>
      <w:tr>
        <w:trPr>
          <w:cantSplit/>
        </w:trPr>
        <w:tc>
          <w:tcPr>
            <w:tcW w:type="dxa" w:w="2494"/>
            <w:tcMar>
              <w:top w:w="70" w:type="dxa"/>
              <w:left w:w="80" w:type="dxa"/>
              <w:bottom w:w="70" w:type="dxa"/>
              <w:right w:w="80" w:type="dxa"/>
            </w:tcMar>
          </w:tcPr>
          <w:p>
            <w:pPr>
              <w:spacing w:after="0"/>
              <w:jc w:val="left"/>
            </w:pPr>
            <w:r>
              <w:rPr>
                <w:rFonts w:ascii="Cambria" w:hAnsi="Cambria" w:eastAsia="Cambria"/>
                <w:b w:val="0"/>
                <w:i w:val="0"/>
                <w:color w:val="000000"/>
                <w:sz w:val="15"/>
              </w:rPr>
              <w:t>Core commitments</w:t>
            </w:r>
          </w:p>
        </w:tc>
        <w:tc>
          <w:tcPr>
            <w:tcW w:type="dxa" w:w="6860"/>
            <w:tcMar>
              <w:top w:w="70" w:type="dxa"/>
              <w:left w:w="80" w:type="dxa"/>
              <w:bottom w:w="70" w:type="dxa"/>
              <w:right w:w="80" w:type="dxa"/>
            </w:tcMar>
          </w:tcPr>
          <w:p>
            <w:pPr>
              <w:spacing w:after="0"/>
              <w:jc w:val="left"/>
            </w:pPr>
            <w:r>
              <w:rPr>
                <w:rFonts w:ascii="Cambria" w:hAnsi="Cambria" w:eastAsia="Cambria"/>
                <w:b w:val="0"/>
                <w:i w:val="0"/>
                <w:color w:val="000000"/>
                <w:sz w:val="15"/>
              </w:rPr>
              <w:t>Safe and healthy working conditions; prevention of injury/ill health; elimination of hazards and reduction of OH&amp;S risks; applicable requirements; consultation/participation; continual improvement.</w:t>
            </w:r>
          </w:p>
        </w:tc>
      </w:tr>
      <w:tr>
        <w:trPr>
          <w:cantSplit/>
        </w:trPr>
        <w:tc>
          <w:tcPr>
            <w:tcW w:type="dxa" w:w="2494"/>
            <w:tcMar>
              <w:top w:w="70" w:type="dxa"/>
              <w:left w:w="80" w:type="dxa"/>
              <w:bottom w:w="70" w:type="dxa"/>
              <w:right w:w="80" w:type="dxa"/>
            </w:tcMar>
          </w:tcPr>
          <w:p>
            <w:pPr>
              <w:spacing w:after="0"/>
              <w:jc w:val="left"/>
            </w:pPr>
            <w:r>
              <w:rPr>
                <w:rFonts w:ascii="Cambria" w:hAnsi="Cambria" w:eastAsia="Cambria"/>
                <w:b w:val="0"/>
                <w:i w:val="0"/>
                <w:color w:val="000000"/>
                <w:sz w:val="15"/>
              </w:rPr>
              <w:t>Leadership expectations</w:t>
            </w:r>
          </w:p>
        </w:tc>
        <w:tc>
          <w:tcPr>
            <w:tcW w:type="dxa" w:w="6860"/>
            <w:tcMar>
              <w:top w:w="70" w:type="dxa"/>
              <w:left w:w="80" w:type="dxa"/>
              <w:bottom w:w="70" w:type="dxa"/>
              <w:right w:w="80" w:type="dxa"/>
            </w:tcMar>
          </w:tcPr>
          <w:p>
            <w:pPr>
              <w:spacing w:after="0"/>
              <w:jc w:val="left"/>
            </w:pPr>
            <w:r>
              <w:rPr>
                <w:rFonts w:ascii="Cambria" w:hAnsi="Cambria" w:eastAsia="Cambria"/>
                <w:b w:val="0"/>
                <w:i w:val="0"/>
                <w:color w:val="000000"/>
                <w:sz w:val="15"/>
              </w:rPr>
              <w:t>Management accountability, integration into business decisions and provision of resources.</w:t>
            </w:r>
          </w:p>
        </w:tc>
      </w:tr>
      <w:tr>
        <w:trPr>
          <w:cantSplit/>
        </w:trPr>
        <w:tc>
          <w:tcPr>
            <w:tcW w:type="dxa" w:w="2494"/>
            <w:tcMar>
              <w:top w:w="70" w:type="dxa"/>
              <w:left w:w="80" w:type="dxa"/>
              <w:bottom w:w="70" w:type="dxa"/>
              <w:right w:w="80" w:type="dxa"/>
            </w:tcMar>
          </w:tcPr>
          <w:p>
            <w:pPr>
              <w:spacing w:after="0"/>
              <w:jc w:val="left"/>
            </w:pPr>
            <w:r>
              <w:rPr>
                <w:rFonts w:ascii="Cambria" w:hAnsi="Cambria" w:eastAsia="Cambria"/>
                <w:b w:val="0"/>
                <w:i w:val="0"/>
                <w:color w:val="000000"/>
                <w:sz w:val="15"/>
              </w:rPr>
              <w:t>Worker responsibilities</w:t>
            </w:r>
          </w:p>
        </w:tc>
        <w:tc>
          <w:tcPr>
            <w:tcW w:type="dxa" w:w="6860"/>
            <w:tcMar>
              <w:top w:w="70" w:type="dxa"/>
              <w:left w:w="80" w:type="dxa"/>
              <w:bottom w:w="70" w:type="dxa"/>
              <w:right w:w="80" w:type="dxa"/>
            </w:tcMar>
          </w:tcPr>
          <w:p>
            <w:pPr>
              <w:spacing w:after="0"/>
              <w:jc w:val="left"/>
            </w:pPr>
            <w:r>
              <w:rPr>
                <w:rFonts w:ascii="Cambria" w:hAnsi="Cambria" w:eastAsia="Cambria"/>
                <w:b w:val="0"/>
                <w:i w:val="0"/>
                <w:color w:val="000000"/>
                <w:sz w:val="15"/>
              </w:rPr>
              <w:t>Follow controls, participate/consult, report hazards/incidents and use escalation/stop-work arrangements where established.</w:t>
            </w:r>
          </w:p>
        </w:tc>
      </w:tr>
      <w:tr>
        <w:trPr>
          <w:cantSplit/>
        </w:trPr>
        <w:tc>
          <w:tcPr>
            <w:tcW w:type="dxa" w:w="2494"/>
            <w:tcMar>
              <w:top w:w="70" w:type="dxa"/>
              <w:left w:w="80" w:type="dxa"/>
              <w:bottom w:w="70" w:type="dxa"/>
              <w:right w:w="80" w:type="dxa"/>
            </w:tcMar>
          </w:tcPr>
          <w:p>
            <w:pPr>
              <w:spacing w:after="0"/>
              <w:jc w:val="left"/>
            </w:pPr>
            <w:r>
              <w:rPr>
                <w:rFonts w:ascii="Cambria" w:hAnsi="Cambria" w:eastAsia="Cambria"/>
                <w:b w:val="0"/>
                <w:i w:val="0"/>
                <w:color w:val="000000"/>
                <w:sz w:val="15"/>
              </w:rPr>
              <w:t>Governance</w:t>
            </w:r>
          </w:p>
        </w:tc>
        <w:tc>
          <w:tcPr>
            <w:tcW w:type="dxa" w:w="6860"/>
            <w:tcMar>
              <w:top w:w="70" w:type="dxa"/>
              <w:left w:w="80" w:type="dxa"/>
              <w:bottom w:w="70" w:type="dxa"/>
              <w:right w:w="80" w:type="dxa"/>
            </w:tcMar>
          </w:tcPr>
          <w:p>
            <w:pPr>
              <w:spacing w:after="0"/>
              <w:jc w:val="left"/>
            </w:pPr>
            <w:r>
              <w:rPr>
                <w:rFonts w:ascii="Cambria" w:hAnsi="Cambria" w:eastAsia="Cambria"/>
                <w:b w:val="0"/>
                <w:i w:val="0"/>
                <w:color w:val="000000"/>
                <w:sz w:val="15"/>
              </w:rPr>
              <w:t>Owner, approval, communication, availability and review cycle.</w:t>
            </w:r>
          </w:p>
        </w:tc>
      </w:tr>
    </w:tbl>
    <w:p>
      <w:pPr>
        <w:spacing w:after="0"/>
      </w:pPr>
    </w:p>
    <w:p>
      <w:pPr>
        <w:keepNext/>
        <w:spacing w:before="120" w:after="50"/>
      </w:pPr>
      <w:r>
        <w:rPr>
          <w:rFonts w:ascii="Cambria" w:hAnsi="Cambria" w:eastAsia="Cambria"/>
          <w:b/>
          <w:i w:val="0"/>
          <w:color w:val="1F4E79"/>
          <w:sz w:val="24"/>
        </w:rPr>
        <w:t>3. Policy Deployment</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Approve at an appropriate management level and communicate it in language/formats workers can understand.</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Translate commitments into risk controls, objectives, procedures, responsibilities and resources.</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Use induction, toolbox talks, noticeboards/intranet, contractor onboarding and supervisor communication as relevant.</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Review after significant context, legal, incident, organizational or operational changes as well as on the planned cycle.</w:t>
      </w:r>
    </w:p>
    <w:p>
      <w:pPr>
        <w:keepNext/>
        <w:spacing w:before="120" w:after="50"/>
      </w:pPr>
      <w:r>
        <w:rPr>
          <w:rFonts w:ascii="Cambria" w:hAnsi="Cambria" w:eastAsia="Cambria"/>
          <w:b/>
          <w:i w:val="0"/>
          <w:color w:val="1F4E79"/>
          <w:sz w:val="24"/>
        </w:rPr>
        <w:t>4. Setting OH&amp;S Objectives</w:t>
      </w:r>
    </w:p>
    <w:p>
      <w:pPr>
        <w:spacing w:after="50" w:line="245" w:lineRule="auto"/>
      </w:pPr>
      <w:r>
        <w:rPr>
          <w:rFonts w:ascii="Cambria" w:hAnsi="Cambria" w:eastAsia="Cambria"/>
          <w:b w:val="0"/>
          <w:i w:val="0"/>
          <w:color w:val="000000"/>
          <w:sz w:val="19"/>
        </w:rPr>
        <w:t>Objectives should address meaningful OH&amp;S outcomes and reflect hazards, risks, opportunities, worker input, legal obligations and performance trends. Prefer a focused set of owned objectives over a large list of activities.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43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Objective Component</w:t>
            </w:r>
          </w:p>
        </w:tc>
        <w:tc>
          <w:tcPr>
            <w:tcW w:type="dxa" w:w="691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Question to Answer</w:t>
            </w:r>
          </w:p>
        </w:tc>
      </w:tr>
      <w:tr>
        <w:trPr>
          <w:cantSplit/>
        </w:trPr>
        <w:tc>
          <w:tcPr>
            <w:tcW w:type="dxa" w:w="2438"/>
            <w:tcMar>
              <w:top w:w="70" w:type="dxa"/>
              <w:left w:w="80" w:type="dxa"/>
              <w:bottom w:w="70" w:type="dxa"/>
              <w:right w:w="80" w:type="dxa"/>
            </w:tcMar>
          </w:tcPr>
          <w:p>
            <w:pPr>
              <w:spacing w:after="0"/>
              <w:jc w:val="left"/>
            </w:pPr>
            <w:r>
              <w:rPr>
                <w:rFonts w:ascii="Cambria" w:hAnsi="Cambria" w:eastAsia="Cambria"/>
                <w:b w:val="0"/>
                <w:i w:val="0"/>
                <w:color w:val="000000"/>
                <w:sz w:val="15"/>
              </w:rPr>
              <w:t>Outcome</w:t>
            </w:r>
          </w:p>
        </w:tc>
        <w:tc>
          <w:tcPr>
            <w:tcW w:type="dxa" w:w="6917"/>
            <w:tcMar>
              <w:top w:w="70" w:type="dxa"/>
              <w:left w:w="80" w:type="dxa"/>
              <w:bottom w:w="70" w:type="dxa"/>
              <w:right w:w="80" w:type="dxa"/>
            </w:tcMar>
          </w:tcPr>
          <w:p>
            <w:pPr>
              <w:spacing w:after="0"/>
              <w:jc w:val="left"/>
            </w:pPr>
            <w:r>
              <w:rPr>
                <w:rFonts w:ascii="Cambria" w:hAnsi="Cambria" w:eastAsia="Cambria"/>
                <w:b w:val="0"/>
                <w:i w:val="0"/>
                <w:color w:val="000000"/>
                <w:sz w:val="15"/>
              </w:rPr>
              <w:t>What safer or healthier result are we trying to achieve?</w:t>
            </w:r>
          </w:p>
        </w:tc>
      </w:tr>
      <w:tr>
        <w:trPr>
          <w:cantSplit/>
        </w:trPr>
        <w:tc>
          <w:tcPr>
            <w:tcW w:type="dxa" w:w="2438"/>
            <w:tcMar>
              <w:top w:w="70" w:type="dxa"/>
              <w:left w:w="80" w:type="dxa"/>
              <w:bottom w:w="70" w:type="dxa"/>
              <w:right w:w="80" w:type="dxa"/>
            </w:tcMar>
          </w:tcPr>
          <w:p>
            <w:pPr>
              <w:spacing w:after="0"/>
              <w:jc w:val="left"/>
            </w:pPr>
            <w:r>
              <w:rPr>
                <w:rFonts w:ascii="Cambria" w:hAnsi="Cambria" w:eastAsia="Cambria"/>
                <w:b w:val="0"/>
                <w:i w:val="0"/>
                <w:color w:val="000000"/>
                <w:sz w:val="15"/>
              </w:rPr>
              <w:t>Measure</w:t>
            </w:r>
          </w:p>
        </w:tc>
        <w:tc>
          <w:tcPr>
            <w:tcW w:type="dxa" w:w="6917"/>
            <w:tcMar>
              <w:top w:w="70" w:type="dxa"/>
              <w:left w:w="80" w:type="dxa"/>
              <w:bottom w:w="70" w:type="dxa"/>
              <w:right w:w="80" w:type="dxa"/>
            </w:tcMar>
          </w:tcPr>
          <w:p>
            <w:pPr>
              <w:spacing w:after="0"/>
              <w:jc w:val="left"/>
            </w:pPr>
            <w:r>
              <w:rPr>
                <w:rFonts w:ascii="Cambria" w:hAnsi="Cambria" w:eastAsia="Cambria"/>
                <w:b w:val="0"/>
                <w:i w:val="0"/>
                <w:color w:val="000000"/>
                <w:sz w:val="15"/>
              </w:rPr>
              <w:t>How will progress or success be measured?</w:t>
            </w:r>
          </w:p>
        </w:tc>
      </w:tr>
      <w:tr>
        <w:trPr>
          <w:cantSplit/>
        </w:trPr>
        <w:tc>
          <w:tcPr>
            <w:tcW w:type="dxa" w:w="2438"/>
            <w:tcMar>
              <w:top w:w="70" w:type="dxa"/>
              <w:left w:w="80" w:type="dxa"/>
              <w:bottom w:w="70" w:type="dxa"/>
              <w:right w:w="80" w:type="dxa"/>
            </w:tcMar>
          </w:tcPr>
          <w:p>
            <w:pPr>
              <w:spacing w:after="0"/>
              <w:jc w:val="left"/>
            </w:pPr>
            <w:r>
              <w:rPr>
                <w:rFonts w:ascii="Cambria" w:hAnsi="Cambria" w:eastAsia="Cambria"/>
                <w:b w:val="0"/>
                <w:i w:val="0"/>
                <w:color w:val="000000"/>
                <w:sz w:val="15"/>
              </w:rPr>
              <w:t>Baseline / Target</w:t>
            </w:r>
          </w:p>
        </w:tc>
        <w:tc>
          <w:tcPr>
            <w:tcW w:type="dxa" w:w="6917"/>
            <w:tcMar>
              <w:top w:w="70" w:type="dxa"/>
              <w:left w:w="80" w:type="dxa"/>
              <w:bottom w:w="70" w:type="dxa"/>
              <w:right w:w="80" w:type="dxa"/>
            </w:tcMar>
          </w:tcPr>
          <w:p>
            <w:pPr>
              <w:spacing w:after="0"/>
              <w:jc w:val="left"/>
            </w:pPr>
            <w:r>
              <w:rPr>
                <w:rFonts w:ascii="Cambria" w:hAnsi="Cambria" w:eastAsia="Cambria"/>
                <w:b w:val="0"/>
                <w:i w:val="0"/>
                <w:color w:val="000000"/>
                <w:sz w:val="15"/>
              </w:rPr>
              <w:t>What is the starting point and desired result?</w:t>
            </w:r>
          </w:p>
        </w:tc>
      </w:tr>
      <w:tr>
        <w:trPr>
          <w:cantSplit/>
        </w:trPr>
        <w:tc>
          <w:tcPr>
            <w:tcW w:type="dxa" w:w="2438"/>
            <w:tcMar>
              <w:top w:w="70" w:type="dxa"/>
              <w:left w:w="80" w:type="dxa"/>
              <w:bottom w:w="70" w:type="dxa"/>
              <w:right w:w="80" w:type="dxa"/>
            </w:tcMar>
          </w:tcPr>
          <w:p>
            <w:pPr>
              <w:spacing w:after="0"/>
              <w:jc w:val="left"/>
            </w:pPr>
            <w:r>
              <w:rPr>
                <w:rFonts w:ascii="Cambria" w:hAnsi="Cambria" w:eastAsia="Cambria"/>
                <w:b w:val="0"/>
                <w:i w:val="0"/>
                <w:color w:val="000000"/>
                <w:sz w:val="15"/>
              </w:rPr>
              <w:t>Owner</w:t>
            </w:r>
          </w:p>
        </w:tc>
        <w:tc>
          <w:tcPr>
            <w:tcW w:type="dxa" w:w="6917"/>
            <w:tcMar>
              <w:top w:w="70" w:type="dxa"/>
              <w:left w:w="80" w:type="dxa"/>
              <w:bottom w:w="70" w:type="dxa"/>
              <w:right w:w="80" w:type="dxa"/>
            </w:tcMar>
          </w:tcPr>
          <w:p>
            <w:pPr>
              <w:spacing w:after="0"/>
              <w:jc w:val="left"/>
            </w:pPr>
            <w:r>
              <w:rPr>
                <w:rFonts w:ascii="Cambria" w:hAnsi="Cambria" w:eastAsia="Cambria"/>
                <w:b w:val="0"/>
                <w:i w:val="0"/>
                <w:color w:val="000000"/>
                <w:sz w:val="15"/>
              </w:rPr>
              <w:t>Who is accountable for the result?</w:t>
            </w:r>
          </w:p>
        </w:tc>
      </w:tr>
      <w:tr>
        <w:trPr>
          <w:cantSplit/>
        </w:trPr>
        <w:tc>
          <w:tcPr>
            <w:tcW w:type="dxa" w:w="2438"/>
            <w:tcMar>
              <w:top w:w="70" w:type="dxa"/>
              <w:left w:w="80" w:type="dxa"/>
              <w:bottom w:w="70" w:type="dxa"/>
              <w:right w:w="80" w:type="dxa"/>
            </w:tcMar>
          </w:tcPr>
          <w:p>
            <w:pPr>
              <w:spacing w:after="0"/>
              <w:jc w:val="left"/>
            </w:pPr>
            <w:r>
              <w:rPr>
                <w:rFonts w:ascii="Cambria" w:hAnsi="Cambria" w:eastAsia="Cambria"/>
                <w:b w:val="0"/>
                <w:i w:val="0"/>
                <w:color w:val="000000"/>
                <w:sz w:val="15"/>
              </w:rPr>
              <w:t>Actions / Resources</w:t>
            </w:r>
          </w:p>
        </w:tc>
        <w:tc>
          <w:tcPr>
            <w:tcW w:type="dxa" w:w="6917"/>
            <w:tcMar>
              <w:top w:w="70" w:type="dxa"/>
              <w:left w:w="80" w:type="dxa"/>
              <w:bottom w:w="70" w:type="dxa"/>
              <w:right w:w="80" w:type="dxa"/>
            </w:tcMar>
          </w:tcPr>
          <w:p>
            <w:pPr>
              <w:spacing w:after="0"/>
              <w:jc w:val="left"/>
            </w:pPr>
            <w:r>
              <w:rPr>
                <w:rFonts w:ascii="Cambria" w:hAnsi="Cambria" w:eastAsia="Cambria"/>
                <w:b w:val="0"/>
                <w:i w:val="0"/>
                <w:color w:val="000000"/>
                <w:sz w:val="15"/>
              </w:rPr>
              <w:t>What actions, competence, equipment or budget are needed?</w:t>
            </w:r>
          </w:p>
        </w:tc>
      </w:tr>
      <w:tr>
        <w:trPr>
          <w:cantSplit/>
        </w:trPr>
        <w:tc>
          <w:tcPr>
            <w:tcW w:type="dxa" w:w="2438"/>
            <w:tcMar>
              <w:top w:w="70" w:type="dxa"/>
              <w:left w:w="80" w:type="dxa"/>
              <w:bottom w:w="70" w:type="dxa"/>
              <w:right w:w="80" w:type="dxa"/>
            </w:tcMar>
          </w:tcPr>
          <w:p>
            <w:pPr>
              <w:spacing w:after="0"/>
              <w:jc w:val="left"/>
            </w:pPr>
            <w:r>
              <w:rPr>
                <w:rFonts w:ascii="Cambria" w:hAnsi="Cambria" w:eastAsia="Cambria"/>
                <w:b w:val="0"/>
                <w:i w:val="0"/>
                <w:color w:val="000000"/>
                <w:sz w:val="15"/>
              </w:rPr>
              <w:t>Timeframe</w:t>
            </w:r>
          </w:p>
        </w:tc>
        <w:tc>
          <w:tcPr>
            <w:tcW w:type="dxa" w:w="6917"/>
            <w:tcMar>
              <w:top w:w="70" w:type="dxa"/>
              <w:left w:w="80" w:type="dxa"/>
              <w:bottom w:w="70" w:type="dxa"/>
              <w:right w:w="80" w:type="dxa"/>
            </w:tcMar>
          </w:tcPr>
          <w:p>
            <w:pPr>
              <w:spacing w:after="0"/>
              <w:jc w:val="left"/>
            </w:pPr>
            <w:r>
              <w:rPr>
                <w:rFonts w:ascii="Cambria" w:hAnsi="Cambria" w:eastAsia="Cambria"/>
                <w:b w:val="0"/>
                <w:i w:val="0"/>
                <w:color w:val="000000"/>
                <w:sz w:val="15"/>
              </w:rPr>
              <w:t>By when should the target be achieved?</w:t>
            </w:r>
          </w:p>
        </w:tc>
      </w:tr>
      <w:tr>
        <w:trPr>
          <w:cantSplit/>
        </w:trPr>
        <w:tc>
          <w:tcPr>
            <w:tcW w:type="dxa" w:w="2438"/>
            <w:tcMar>
              <w:top w:w="70" w:type="dxa"/>
              <w:left w:w="80" w:type="dxa"/>
              <w:bottom w:w="70" w:type="dxa"/>
              <w:right w:w="80" w:type="dxa"/>
            </w:tcMar>
          </w:tcPr>
          <w:p>
            <w:pPr>
              <w:spacing w:after="0"/>
              <w:jc w:val="left"/>
            </w:pPr>
            <w:r>
              <w:rPr>
                <w:rFonts w:ascii="Cambria" w:hAnsi="Cambria" w:eastAsia="Cambria"/>
                <w:b w:val="0"/>
                <w:i w:val="0"/>
                <w:color w:val="000000"/>
                <w:sz w:val="15"/>
              </w:rPr>
              <w:t>Worker Input</w:t>
            </w:r>
          </w:p>
        </w:tc>
        <w:tc>
          <w:tcPr>
            <w:tcW w:type="dxa" w:w="6917"/>
            <w:tcMar>
              <w:top w:w="70" w:type="dxa"/>
              <w:left w:w="80" w:type="dxa"/>
              <w:bottom w:w="70" w:type="dxa"/>
              <w:right w:w="80" w:type="dxa"/>
            </w:tcMar>
          </w:tcPr>
          <w:p>
            <w:pPr>
              <w:spacing w:after="0"/>
              <w:jc w:val="left"/>
            </w:pPr>
            <w:r>
              <w:rPr>
                <w:rFonts w:ascii="Cambria" w:hAnsi="Cambria" w:eastAsia="Cambria"/>
                <w:b w:val="0"/>
                <w:i w:val="0"/>
                <w:color w:val="000000"/>
                <w:sz w:val="15"/>
              </w:rPr>
              <w:t>How are affected workers consulted/participating?</w:t>
            </w:r>
          </w:p>
        </w:tc>
      </w:tr>
      <w:tr>
        <w:trPr>
          <w:cantSplit/>
        </w:trPr>
        <w:tc>
          <w:tcPr>
            <w:tcW w:type="dxa" w:w="2438"/>
            <w:tcMar>
              <w:top w:w="70" w:type="dxa"/>
              <w:left w:w="80" w:type="dxa"/>
              <w:bottom w:w="70" w:type="dxa"/>
              <w:right w:w="80" w:type="dxa"/>
            </w:tcMar>
          </w:tcPr>
          <w:p>
            <w:pPr>
              <w:spacing w:after="0"/>
              <w:jc w:val="left"/>
            </w:pPr>
            <w:r>
              <w:rPr>
                <w:rFonts w:ascii="Cambria" w:hAnsi="Cambria" w:eastAsia="Cambria"/>
                <w:b w:val="0"/>
                <w:i w:val="0"/>
                <w:color w:val="000000"/>
                <w:sz w:val="15"/>
              </w:rPr>
              <w:t>Review / Escalation</w:t>
            </w:r>
          </w:p>
        </w:tc>
        <w:tc>
          <w:tcPr>
            <w:tcW w:type="dxa" w:w="6917"/>
            <w:tcMar>
              <w:top w:w="70" w:type="dxa"/>
              <w:left w:w="80" w:type="dxa"/>
              <w:bottom w:w="70" w:type="dxa"/>
              <w:right w:w="80" w:type="dxa"/>
            </w:tcMar>
          </w:tcPr>
          <w:p>
            <w:pPr>
              <w:spacing w:after="0"/>
              <w:jc w:val="left"/>
            </w:pPr>
            <w:r>
              <w:rPr>
                <w:rFonts w:ascii="Cambria" w:hAnsi="Cambria" w:eastAsia="Cambria"/>
                <w:b w:val="0"/>
                <w:i w:val="0"/>
                <w:color w:val="000000"/>
                <w:sz w:val="15"/>
              </w:rPr>
              <w:t>How often is performance reviewed and what triggers action?</w:t>
            </w:r>
          </w:p>
        </w:tc>
      </w:tr>
    </w:tbl>
    <w:p>
      <w:pPr>
        <w:spacing w:after="0"/>
      </w:pPr>
    </w:p>
    <w:p>
      <w:pPr>
        <w:keepNext/>
        <w:spacing w:before="120" w:after="50"/>
      </w:pPr>
      <w:r>
        <w:rPr>
          <w:rFonts w:ascii="Cambria" w:hAnsi="Cambria" w:eastAsia="Cambria"/>
          <w:b/>
          <w:i w:val="0"/>
          <w:color w:val="1F4E79"/>
          <w:sz w:val="24"/>
        </w:rPr>
        <w:t>5. Indicators - What to Measure</w:t>
      </w:r>
    </w:p>
    <w:p>
      <w:pPr>
        <w:spacing w:after="50" w:line="245" w:lineRule="auto"/>
      </w:pPr>
      <w:r>
        <w:rPr>
          <w:rFonts w:ascii="Cambria" w:hAnsi="Cambria" w:eastAsia="Cambria"/>
          <w:b w:val="0"/>
          <w:i w:val="0"/>
          <w:color w:val="000000"/>
          <w:sz w:val="19"/>
        </w:rPr>
        <w:t>Indicators should help management see whether risk controls are working and whether conditions are improving. Balance lagging outcomes with leading indicators of control implementation and worker involvement.</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551"/>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Indicator Type</w:t>
            </w:r>
          </w:p>
        </w:tc>
        <w:tc>
          <w:tcPr>
            <w:tcW w:type="dxa" w:w="6803"/>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Examples of Practical Measures</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Hazard / Risk</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High risks open; overdue risk controls; percentage of significant-risk actions closed on time.</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Incident</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Recordable incidents; near-miss reporting; recurrence; investigation completion; action ageing.</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Control / Inspection</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Critical inspection actions overdue; permit compliance; machine guard or housekeeping findings; PPE exceptions.</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Health / Exposure</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Exposure monitoring results; health-surveillance exceptions where applicable; heat/fatigue indicators.</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Competence</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Required training / authorization completion; overdue competence renewal.</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Worker Participation</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Consultations completed; worker suggestions/action closure; participation in risk review.</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Contractor</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Contractor OH&amp;S evaluation coverage; serious contractor findings; action closure.</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Emergency</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Drill completion; response gaps; corrective-action closure.</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Compliance</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Compliance evaluations completed; open legal noncompliance; permit/inspection status.</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Audit / CAPA</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Audit completion; major/minor finding ageing; corrective-action recurrence/effectiveness.</w:t>
            </w:r>
          </w:p>
        </w:tc>
      </w:tr>
    </w:tbl>
    <w:p>
      <w:pPr>
        <w:spacing w:after="0"/>
      </w:pPr>
    </w:p>
    <w:p>
      <w:pPr>
        <w:keepNext/>
        <w:spacing w:before="120" w:after="50"/>
      </w:pPr>
      <w:r>
        <w:rPr>
          <w:rFonts w:ascii="Cambria" w:hAnsi="Cambria" w:eastAsia="Cambria"/>
          <w:b/>
          <w:i w:val="0"/>
          <w:color w:val="1F4E79"/>
          <w:sz w:val="24"/>
        </w:rPr>
        <w:t>6. Starter Indicator Register</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1871"/>
        <w:gridCol w:w="1871"/>
        <w:gridCol w:w="1871"/>
        <w:gridCol w:w="1871"/>
        <w:gridCol w:w="1871"/>
      </w:tblGrid>
      <w:tr>
        <w:trPr>
          <w:cantSplit/>
          <w:tblHeader w:val="true"/>
        </w:trPr>
        <w:tc>
          <w:tcPr>
            <w:tcW w:type="dxa" w:w="2154"/>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4"/>
              </w:rPr>
              <w:t>Indicator</w:t>
            </w:r>
          </w:p>
        </w:tc>
        <w:tc>
          <w:tcPr>
            <w:tcW w:type="dxa" w:w="311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4"/>
              </w:rPr>
              <w:t>Formula / Basis</w:t>
            </w:r>
          </w:p>
        </w:tc>
        <w:tc>
          <w:tcPr>
            <w:tcW w:type="dxa" w:w="158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4"/>
              </w:rPr>
              <w:t>Owner</w:t>
            </w:r>
          </w:p>
        </w:tc>
        <w:tc>
          <w:tcPr>
            <w:tcW w:type="dxa" w:w="124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4"/>
              </w:rPr>
              <w:t>Review</w:t>
            </w:r>
          </w:p>
        </w:tc>
        <w:tc>
          <w:tcPr>
            <w:tcW w:type="dxa" w:w="124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4"/>
              </w:rPr>
              <w:t>Example Trigger</w:t>
            </w:r>
          </w:p>
        </w:tc>
      </w:tr>
      <w:tr>
        <w:trPr>
          <w:cantSplit/>
        </w:trPr>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High-risk action overdue</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4"/>
              </w:rPr>
              <w:t>Count of high-risk OH&amp;S actions past due</w:t>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4"/>
              </w:rPr>
              <w:t>OH&amp;S Manager / Risk Owners</w:t>
            </w:r>
          </w:p>
        </w:tc>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Monthly</w:t>
            </w:r>
          </w:p>
        </w:tc>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Any overdue critical/high action</w:t>
            </w:r>
          </w:p>
        </w:tc>
      </w:tr>
      <w:tr>
        <w:trPr>
          <w:cantSplit/>
        </w:trPr>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Significant hazard-control completion</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4"/>
              </w:rPr>
              <w:t>Completed planned controls / controls due</w:t>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4"/>
              </w:rPr>
              <w:t>Process Owners</w:t>
            </w:r>
          </w:p>
        </w:tc>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Monthly</w:t>
            </w:r>
          </w:p>
        </w:tc>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Below target completion</w:t>
            </w:r>
          </w:p>
        </w:tc>
      </w:tr>
      <w:tr>
        <w:trPr>
          <w:cantSplit/>
        </w:trPr>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Incident action recurrence</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4"/>
              </w:rPr>
              <w:t>Repeat incidents linked to previously addressed cause/control</w:t>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4"/>
              </w:rPr>
              <w:t>OH&amp;S Manager</w:t>
            </w:r>
          </w:p>
        </w:tc>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Monthly / Quarterly</w:t>
            </w:r>
          </w:p>
        </w:tc>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Any significant recurrence</w:t>
            </w:r>
          </w:p>
        </w:tc>
      </w:tr>
      <w:tr>
        <w:trPr>
          <w:cantSplit/>
        </w:trPr>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Worker consultation action closure</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4"/>
              </w:rPr>
              <w:t>Worker-raised actions closed on time / due actions</w:t>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4"/>
              </w:rPr>
              <w:t>Managers / OH&amp;S</w:t>
            </w:r>
          </w:p>
        </w:tc>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Monthly</w:t>
            </w:r>
          </w:p>
        </w:tc>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Repeated overdue items</w:t>
            </w:r>
          </w:p>
        </w:tc>
      </w:tr>
      <w:tr>
        <w:trPr>
          <w:cantSplit/>
        </w:trPr>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Training / authorization completion</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4"/>
              </w:rPr>
              <w:t>Completed required training / assigned population</w:t>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4"/>
              </w:rPr>
              <w:t>HR / Managers</w:t>
            </w:r>
          </w:p>
        </w:tc>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Monthly</w:t>
            </w:r>
          </w:p>
        </w:tc>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Below target or expired critical authorization</w:t>
            </w:r>
          </w:p>
        </w:tc>
      </w:tr>
      <w:tr>
        <w:trPr>
          <w:cantSplit/>
        </w:trPr>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Emergency-drill action closure</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4"/>
              </w:rPr>
              <w:t>Drill actions closed by due date</w:t>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4"/>
              </w:rPr>
              <w:t>Emergency Coordinator</w:t>
            </w:r>
          </w:p>
        </w:tc>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After drill / Monthly</w:t>
            </w:r>
          </w:p>
        </w:tc>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Critical drill action overdue</w:t>
            </w:r>
          </w:p>
        </w:tc>
      </w:tr>
      <w:tr>
        <w:trPr>
          <w:cantSplit/>
        </w:trPr>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Legal compliance status</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4"/>
              </w:rPr>
              <w:t>Open noncompliance / total evaluated requirements</w:t>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4"/>
              </w:rPr>
              <w:t>Compliance Owner</w:t>
            </w:r>
          </w:p>
        </w:tc>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Quarterly / planned</w:t>
            </w:r>
          </w:p>
        </w:tc>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Any material noncompliance</w:t>
            </w:r>
          </w:p>
        </w:tc>
      </w:tr>
      <w:tr>
        <w:trPr>
          <w:cantSplit/>
        </w:trPr>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Audit finding ageing</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4"/>
              </w:rPr>
              <w:t>Open finding age and overdue count</w:t>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4"/>
              </w:rPr>
              <w:t>OH&amp;S Manager</w:t>
            </w:r>
          </w:p>
        </w:tc>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Monthly</w:t>
            </w:r>
          </w:p>
        </w:tc>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Major/high-risk finding overdue</w:t>
            </w:r>
          </w:p>
        </w:tc>
      </w:tr>
    </w:tbl>
    <w:p>
      <w:pPr>
        <w:spacing w:after="0"/>
      </w:pPr>
    </w:p>
    <w:p>
      <w:pPr>
        <w:keepNext/>
        <w:spacing w:before="120" w:after="50"/>
      </w:pPr>
      <w:r>
        <w:rPr>
          <w:rFonts w:ascii="Cambria" w:hAnsi="Cambria" w:eastAsia="Cambria"/>
          <w:b/>
          <w:i w:val="0"/>
          <w:color w:val="1F4E79"/>
          <w:sz w:val="24"/>
        </w:rPr>
        <w:t>7. Targets and Thresholds</w:t>
      </w:r>
    </w:p>
    <w:p>
      <w:pPr>
        <w:spacing w:after="50" w:line="245" w:lineRule="auto"/>
      </w:pPr>
      <w:r>
        <w:rPr>
          <w:rFonts w:ascii="Cambria" w:hAnsi="Cambria" w:eastAsia="Cambria"/>
          <w:b w:val="0"/>
          <w:i w:val="0"/>
          <w:color w:val="000000"/>
          <w:sz w:val="19"/>
        </w:rPr>
        <w:t>Set targets using OH&amp;S risk, legal/other requirements, historical performance, worker input and practical capability. Avoid targets that discourage reporting, such as unmanaged “zero incident” goals that can create pressure to hide events. Pair outcome targets with leading indicators of control quality and learning.</w:t>
      </w:r>
    </w:p>
    <w:p>
      <w:pPr>
        <w:keepNext/>
        <w:spacing w:before="120" w:after="50"/>
      </w:pPr>
      <w:r>
        <w:rPr>
          <w:rFonts w:ascii="Cambria" w:hAnsi="Cambria" w:eastAsia="Cambria"/>
          <w:b/>
          <w:i w:val="0"/>
          <w:color w:val="1F4E79"/>
          <w:sz w:val="24"/>
        </w:rPr>
        <w:t>8. Data Quality and Ownership</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Define a named owner, source and reporting period for every indicator.</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Use consistent formulas and denominators so trends remain comparable.</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Explain exclusions, data gaps and changes in workforce/hours/population.</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Use worker and supervisor feedback to understand what the metric does not show.</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Retain evidence for material measures used in management decisions or audit conclusions.</w:t>
      </w:r>
    </w:p>
    <w:p>
      <w:pPr>
        <w:keepNext/>
        <w:spacing w:before="120" w:after="50"/>
      </w:pPr>
      <w:r>
        <w:rPr>
          <w:rFonts w:ascii="Cambria" w:hAnsi="Cambria" w:eastAsia="Cambria"/>
          <w:b/>
          <w:i w:val="0"/>
          <w:color w:val="1F4E79"/>
          <w:sz w:val="24"/>
        </w:rPr>
        <w:t>9. Review and Management Action</w:t>
      </w:r>
    </w:p>
    <w:p>
      <w:pPr>
        <w:spacing w:after="50" w:line="245" w:lineRule="auto"/>
      </w:pPr>
      <w:r>
        <w:rPr>
          <w:rFonts w:ascii="Cambria" w:hAnsi="Cambria" w:eastAsia="Cambria"/>
          <w:b w:val="0"/>
          <w:i w:val="0"/>
          <w:color w:val="000000"/>
          <w:sz w:val="19"/>
        </w:rPr>
        <w:t>Indicators are useful only when they trigger decisions. Review frequency should reflect risk. Where performance is outside target or deteriorating, decide whether control change, risk reassessment, resources, worker consultation, investigation or corrective action is needed. Material trends should feed management review.</w:t>
      </w:r>
    </w:p>
    <w:p>
      <w:pPr>
        <w:keepNext/>
        <w:spacing w:before="120" w:after="50"/>
      </w:pPr>
      <w:r>
        <w:rPr>
          <w:rFonts w:ascii="Cambria" w:hAnsi="Cambria" w:eastAsia="Cambria"/>
          <w:b/>
          <w:i w:val="0"/>
          <w:color w:val="1F4E79"/>
          <w:sz w:val="24"/>
        </w:rPr>
        <w:t>10. Common Pitfalls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3402"/>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Pitfall</w:t>
            </w:r>
          </w:p>
        </w:tc>
        <w:tc>
          <w:tcPr>
            <w:tcW w:type="dxa" w:w="5953"/>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Better Practice</w:t>
            </w:r>
          </w:p>
        </w:tc>
      </w:tr>
      <w:tr>
        <w:trPr>
          <w:cantSplit/>
        </w:trPr>
        <w:tc>
          <w:tcPr>
            <w:tcW w:type="dxa" w:w="3402"/>
            <w:tcMar>
              <w:top w:w="70" w:type="dxa"/>
              <w:left w:w="80" w:type="dxa"/>
              <w:bottom w:w="70" w:type="dxa"/>
              <w:right w:w="80" w:type="dxa"/>
            </w:tcMar>
          </w:tcPr>
          <w:p>
            <w:pPr>
              <w:spacing w:after="0"/>
              <w:jc w:val="left"/>
            </w:pPr>
            <w:r>
              <w:rPr>
                <w:rFonts w:ascii="Cambria" w:hAnsi="Cambria" w:eastAsia="Cambria"/>
                <w:b w:val="0"/>
                <w:i w:val="0"/>
                <w:color w:val="000000"/>
                <w:sz w:val="15"/>
              </w:rPr>
              <w:t>Policy is copied from a generic template.</w:t>
            </w:r>
          </w:p>
        </w:tc>
        <w:tc>
          <w:tcPr>
            <w:tcW w:type="dxa" w:w="5953"/>
            <w:tcMar>
              <w:top w:w="70" w:type="dxa"/>
              <w:left w:w="80" w:type="dxa"/>
              <w:bottom w:w="70" w:type="dxa"/>
              <w:right w:w="80" w:type="dxa"/>
            </w:tcMar>
          </w:tcPr>
          <w:p>
            <w:pPr>
              <w:spacing w:after="0"/>
              <w:jc w:val="left"/>
            </w:pPr>
            <w:r>
              <w:rPr>
                <w:rFonts w:ascii="Cambria" w:hAnsi="Cambria" w:eastAsia="Cambria"/>
                <w:b w:val="0"/>
                <w:i w:val="0"/>
                <w:color w:val="000000"/>
                <w:sz w:val="15"/>
              </w:rPr>
              <w:t>Adapt commitments and language to actual hazards, workforce and governance.</w:t>
            </w:r>
          </w:p>
        </w:tc>
      </w:tr>
      <w:tr>
        <w:trPr>
          <w:cantSplit/>
        </w:trPr>
        <w:tc>
          <w:tcPr>
            <w:tcW w:type="dxa" w:w="3402"/>
            <w:tcMar>
              <w:top w:w="70" w:type="dxa"/>
              <w:left w:w="80" w:type="dxa"/>
              <w:bottom w:w="70" w:type="dxa"/>
              <w:right w:w="80" w:type="dxa"/>
            </w:tcMar>
          </w:tcPr>
          <w:p>
            <w:pPr>
              <w:spacing w:after="0"/>
              <w:jc w:val="left"/>
            </w:pPr>
            <w:r>
              <w:rPr>
                <w:rFonts w:ascii="Cambria" w:hAnsi="Cambria" w:eastAsia="Cambria"/>
                <w:b w:val="0"/>
                <w:i w:val="0"/>
                <w:color w:val="000000"/>
                <w:sz w:val="15"/>
              </w:rPr>
              <w:t>Objective is only an activity such as “conduct training”.</w:t>
            </w:r>
          </w:p>
        </w:tc>
        <w:tc>
          <w:tcPr>
            <w:tcW w:type="dxa" w:w="5953"/>
            <w:tcMar>
              <w:top w:w="70" w:type="dxa"/>
              <w:left w:w="80" w:type="dxa"/>
              <w:bottom w:w="70" w:type="dxa"/>
              <w:right w:w="80" w:type="dxa"/>
            </w:tcMar>
          </w:tcPr>
          <w:p>
            <w:pPr>
              <w:spacing w:after="0"/>
              <w:jc w:val="left"/>
            </w:pPr>
            <w:r>
              <w:rPr>
                <w:rFonts w:ascii="Cambria" w:hAnsi="Cambria" w:eastAsia="Cambria"/>
                <w:b w:val="0"/>
                <w:i w:val="0"/>
                <w:color w:val="000000"/>
                <w:sz w:val="15"/>
              </w:rPr>
              <w:t>State the intended OH&amp;S outcome and use training as an action where appropriate.</w:t>
            </w:r>
          </w:p>
        </w:tc>
      </w:tr>
      <w:tr>
        <w:trPr>
          <w:cantSplit/>
        </w:trPr>
        <w:tc>
          <w:tcPr>
            <w:tcW w:type="dxa" w:w="3402"/>
            <w:tcMar>
              <w:top w:w="70" w:type="dxa"/>
              <w:left w:w="80" w:type="dxa"/>
              <w:bottom w:w="70" w:type="dxa"/>
              <w:right w:w="80" w:type="dxa"/>
            </w:tcMar>
          </w:tcPr>
          <w:p>
            <w:pPr>
              <w:spacing w:after="0"/>
              <w:jc w:val="left"/>
            </w:pPr>
            <w:r>
              <w:rPr>
                <w:rFonts w:ascii="Cambria" w:hAnsi="Cambria" w:eastAsia="Cambria"/>
                <w:b w:val="0"/>
                <w:i w:val="0"/>
                <w:color w:val="000000"/>
                <w:sz w:val="15"/>
              </w:rPr>
              <w:t>Only lagging injury statistics are reported.</w:t>
            </w:r>
          </w:p>
        </w:tc>
        <w:tc>
          <w:tcPr>
            <w:tcW w:type="dxa" w:w="5953"/>
            <w:tcMar>
              <w:top w:w="70" w:type="dxa"/>
              <w:left w:w="80" w:type="dxa"/>
              <w:bottom w:w="70" w:type="dxa"/>
              <w:right w:w="80" w:type="dxa"/>
            </w:tcMar>
          </w:tcPr>
          <w:p>
            <w:pPr>
              <w:spacing w:after="0"/>
              <w:jc w:val="left"/>
            </w:pPr>
            <w:r>
              <w:rPr>
                <w:rFonts w:ascii="Cambria" w:hAnsi="Cambria" w:eastAsia="Cambria"/>
                <w:b w:val="0"/>
                <w:i w:val="0"/>
                <w:color w:val="000000"/>
                <w:sz w:val="15"/>
              </w:rPr>
              <w:t>Add leading indicators for hazards, controls, actions, worker participation and compliance.</w:t>
            </w:r>
          </w:p>
        </w:tc>
      </w:tr>
      <w:tr>
        <w:trPr>
          <w:cantSplit/>
        </w:trPr>
        <w:tc>
          <w:tcPr>
            <w:tcW w:type="dxa" w:w="3402"/>
            <w:tcMar>
              <w:top w:w="70" w:type="dxa"/>
              <w:left w:w="80" w:type="dxa"/>
              <w:bottom w:w="70" w:type="dxa"/>
              <w:right w:w="80" w:type="dxa"/>
            </w:tcMar>
          </w:tcPr>
          <w:p>
            <w:pPr>
              <w:spacing w:after="0"/>
              <w:jc w:val="left"/>
            </w:pPr>
            <w:r>
              <w:rPr>
                <w:rFonts w:ascii="Cambria" w:hAnsi="Cambria" w:eastAsia="Cambria"/>
                <w:b w:val="0"/>
                <w:i w:val="0"/>
                <w:color w:val="000000"/>
                <w:sz w:val="15"/>
              </w:rPr>
              <w:t>A metric improves because reporting decreases.</w:t>
            </w:r>
          </w:p>
        </w:tc>
        <w:tc>
          <w:tcPr>
            <w:tcW w:type="dxa" w:w="5953"/>
            <w:tcMar>
              <w:top w:w="70" w:type="dxa"/>
              <w:left w:w="80" w:type="dxa"/>
              <w:bottom w:w="70" w:type="dxa"/>
              <w:right w:w="80" w:type="dxa"/>
            </w:tcMar>
          </w:tcPr>
          <w:p>
            <w:pPr>
              <w:spacing w:after="0"/>
              <w:jc w:val="left"/>
            </w:pPr>
            <w:r>
              <w:rPr>
                <w:rFonts w:ascii="Cambria" w:hAnsi="Cambria" w:eastAsia="Cambria"/>
                <w:b w:val="0"/>
                <w:i w:val="0"/>
                <w:color w:val="000000"/>
                <w:sz w:val="15"/>
              </w:rPr>
              <w:t>Check reporting quality and worker trust before concluding performance improved.</w:t>
            </w:r>
          </w:p>
        </w:tc>
      </w:tr>
      <w:tr>
        <w:trPr>
          <w:cantSplit/>
        </w:trPr>
        <w:tc>
          <w:tcPr>
            <w:tcW w:type="dxa" w:w="3402"/>
            <w:tcMar>
              <w:top w:w="70" w:type="dxa"/>
              <w:left w:w="80" w:type="dxa"/>
              <w:bottom w:w="70" w:type="dxa"/>
              <w:right w:w="80" w:type="dxa"/>
            </w:tcMar>
          </w:tcPr>
          <w:p>
            <w:pPr>
              <w:spacing w:after="0"/>
              <w:jc w:val="left"/>
            </w:pPr>
            <w:r>
              <w:rPr>
                <w:rFonts w:ascii="Cambria" w:hAnsi="Cambria" w:eastAsia="Cambria"/>
                <w:b w:val="0"/>
                <w:i w:val="0"/>
                <w:color w:val="000000"/>
                <w:sz w:val="15"/>
              </w:rPr>
              <w:t>Targets are changed when missed.</w:t>
            </w:r>
          </w:p>
        </w:tc>
        <w:tc>
          <w:tcPr>
            <w:tcW w:type="dxa" w:w="5953"/>
            <w:tcMar>
              <w:top w:w="70" w:type="dxa"/>
              <w:left w:w="80" w:type="dxa"/>
              <w:bottom w:w="70" w:type="dxa"/>
              <w:right w:w="80" w:type="dxa"/>
            </w:tcMar>
          </w:tcPr>
          <w:p>
            <w:pPr>
              <w:spacing w:after="0"/>
              <w:jc w:val="left"/>
            </w:pPr>
            <w:r>
              <w:rPr>
                <w:rFonts w:ascii="Cambria" w:hAnsi="Cambria" w:eastAsia="Cambria"/>
                <w:b w:val="0"/>
                <w:i w:val="0"/>
                <w:color w:val="000000"/>
                <w:sz w:val="15"/>
              </w:rPr>
              <w:t>Record the miss, understand the cause and change the target only when context/decision justifies it.</w:t>
            </w:r>
          </w:p>
        </w:tc>
      </w:tr>
    </w:tbl>
    <w:p>
      <w:pPr>
        <w:spacing w:after="0"/>
      </w:pPr>
    </w:p>
    <w:p>
      <w:pPr>
        <w:keepNext/>
        <w:spacing w:before="120" w:after="50"/>
      </w:pPr>
      <w:r>
        <w:rPr>
          <w:rFonts w:ascii="Cambria" w:hAnsi="Cambria" w:eastAsia="Cambria"/>
          <w:b/>
          <w:i w:val="0"/>
          <w:color w:val="1F4E79"/>
          <w:sz w:val="24"/>
        </w:rPr>
        <w:t>Approval and Revision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blHeader w:val="true"/>
        </w:trPr>
        <w:tc>
          <w:tcPr>
            <w:tcW w:type="dxa" w:w="2381"/>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Role</w:t>
            </w:r>
          </w:p>
        </w:tc>
        <w:tc>
          <w:tcPr>
            <w:tcW w:type="dxa" w:w="311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Name / Position</w:t>
            </w:r>
          </w:p>
        </w:tc>
        <w:tc>
          <w:tcPr>
            <w:tcW w:type="dxa" w:w="226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Approval / Signature</w:t>
            </w:r>
          </w:p>
        </w:tc>
        <w:tc>
          <w:tcPr>
            <w:tcW w:type="dxa" w:w="158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Date</w:t>
            </w:r>
          </w:p>
        </w:tc>
      </w:tr>
      <w:tr>
        <w:trPr>
          <w:cantSplit/>
        </w:trPr>
        <w:tc>
          <w:tcPr>
            <w:tcW w:type="dxa" w:w="2381"/>
            <w:tcMar>
              <w:top w:w="70" w:type="dxa"/>
              <w:left w:w="80" w:type="dxa"/>
              <w:bottom w:w="70" w:type="dxa"/>
              <w:right w:w="80" w:type="dxa"/>
            </w:tcMar>
          </w:tcPr>
          <w:p>
            <w:pPr>
              <w:spacing w:after="0"/>
              <w:jc w:val="left"/>
            </w:pPr>
            <w:r>
              <w:rPr>
                <w:rFonts w:ascii="Cambria" w:hAnsi="Cambria" w:eastAsia="Cambria"/>
                <w:b w:val="0"/>
                <w:i w:val="0"/>
                <w:color w:val="000000"/>
                <w:sz w:val="16"/>
              </w:rPr>
              <w:t>Prepared / Maintained by</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6"/>
              </w:rPr>
              <w:t>OH&amp;S Manager / OH&amp;SMS Manager</w:t>
            </w:r>
          </w:p>
        </w:tc>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6"/>
              </w:rPr>
            </w:r>
          </w:p>
        </w:tc>
      </w:tr>
      <w:tr>
        <w:trPr>
          <w:cantSplit/>
        </w:trPr>
        <w:tc>
          <w:tcPr>
            <w:tcW w:type="dxa" w:w="2381"/>
            <w:tcMar>
              <w:top w:w="70" w:type="dxa"/>
              <w:left w:w="80" w:type="dxa"/>
              <w:bottom w:w="70" w:type="dxa"/>
              <w:right w:w="80" w:type="dxa"/>
            </w:tcMar>
          </w:tcPr>
          <w:p>
            <w:pPr>
              <w:spacing w:after="0"/>
              <w:jc w:val="left"/>
            </w:pPr>
            <w:r>
              <w:rPr>
                <w:rFonts w:ascii="Cambria" w:hAnsi="Cambria" w:eastAsia="Cambria"/>
                <w:b w:val="0"/>
                <w:i w:val="0"/>
                <w:color w:val="000000"/>
                <w:sz w:val="16"/>
              </w:rPr>
              <w:t>Reviewed by</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6"/>
              </w:rPr>
              <w:t>[REVIEWER / FUNCTION]</w:t>
            </w:r>
          </w:p>
        </w:tc>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6"/>
              </w:rPr>
            </w:r>
          </w:p>
        </w:tc>
      </w:tr>
      <w:tr>
        <w:trPr>
          <w:cantSplit/>
        </w:trPr>
        <w:tc>
          <w:tcPr>
            <w:tcW w:type="dxa" w:w="2381"/>
            <w:tcMar>
              <w:top w:w="70" w:type="dxa"/>
              <w:left w:w="80" w:type="dxa"/>
              <w:bottom w:w="70" w:type="dxa"/>
              <w:right w:w="80" w:type="dxa"/>
            </w:tcMar>
          </w:tcPr>
          <w:p>
            <w:pPr>
              <w:spacing w:after="0"/>
              <w:jc w:val="left"/>
            </w:pPr>
            <w:r>
              <w:rPr>
                <w:rFonts w:ascii="Cambria" w:hAnsi="Cambria" w:eastAsia="Cambria"/>
                <w:b w:val="0"/>
                <w:i w:val="0"/>
                <w:color w:val="000000"/>
                <w:sz w:val="16"/>
              </w:rPr>
              <w:t>Approved by</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6"/>
              </w:rPr>
              <w:t>Top Management</w:t>
            </w:r>
          </w:p>
        </w:tc>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6"/>
              </w:rPr>
            </w:r>
          </w:p>
        </w:tc>
      </w:tr>
    </w:tbl>
    <w:p>
      <w:pPr>
        <w:spacing w:after="0"/>
      </w:pPr>
    </w:p>
    <w:p>
      <w:pPr>
        <w:keepNext/>
        <w:spacing w:before="60" w:after="50"/>
      </w:pPr>
      <w:r>
        <w:rPr>
          <w:rFonts w:ascii="Cambria" w:hAnsi="Cambria" w:eastAsia="Cambria"/>
          <w:b/>
          <w:i w:val="0"/>
          <w:color w:val="000000"/>
          <w:sz w:val="21"/>
        </w:rPr>
        <w:t>Revision History</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58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7"/>
              </w:rPr>
              <w:t>Version</w:t>
            </w:r>
          </w:p>
        </w:tc>
        <w:tc>
          <w:tcPr>
            <w:tcW w:type="dxa" w:w="2154"/>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7"/>
              </w:rPr>
              <w:t>Date</w:t>
            </w:r>
          </w:p>
        </w:tc>
        <w:tc>
          <w:tcPr>
            <w:tcW w:type="dxa" w:w="5613"/>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7"/>
              </w:rPr>
              <w:t>Description</w:t>
            </w:r>
          </w:p>
        </w:tc>
      </w:tr>
      <w:tr>
        <w:trPr>
          <w:cantSplit/>
        </w:trPr>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7"/>
              </w:rPr>
              <w:t>1.0</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7"/>
              </w:rPr>
              <w:t>2026-09-18</w:t>
            </w:r>
          </w:p>
        </w:tc>
        <w:tc>
          <w:tcPr>
            <w:tcW w:type="dxa" w:w="5613"/>
            <w:tcMar>
              <w:top w:w="70" w:type="dxa"/>
              <w:left w:w="80" w:type="dxa"/>
              <w:bottom w:w="70" w:type="dxa"/>
              <w:right w:w="80" w:type="dxa"/>
            </w:tcMar>
          </w:tcPr>
          <w:p>
            <w:pPr>
              <w:spacing w:after="0"/>
              <w:jc w:val="left"/>
            </w:pPr>
            <w:r>
              <w:rPr>
                <w:rFonts w:ascii="Cambria" w:hAnsi="Cambria" w:eastAsia="Cambria"/>
                <w:b w:val="0"/>
                <w:i w:val="0"/>
                <w:color w:val="000000"/>
                <w:sz w:val="17"/>
              </w:rPr>
              <w:t>Initial issue</w:t>
            </w:r>
          </w:p>
        </w:tc>
      </w:tr>
    </w:tbl>
    <w:p>
      <w:pPr>
        <w:spacing w:after="0"/>
      </w:pPr>
    </w:p>
    <w:sectPr w:rsidR="00FC693F" w:rsidRPr="0006063C" w:rsidSect="00034616">
      <w:headerReference w:type="default" r:id="rId9"/>
      <w:footerReference w:type="default" r:id="rId10"/>
      <w:pgSz w:w="11906" w:h="16838"/>
      <w:pgMar w:top="1134" w:right="1134" w:bottom="1134" w:left="1417" w:header="397" w:footer="397"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spacing w:after="0"/>
      <w:jc w:val="center"/>
    </w:pPr>
    <w:r>
      <w:rPr>
        <w:rFonts w:ascii="Cambria" w:hAnsi="Cambria" w:eastAsia="Cambria"/>
        <w:b w:val="0"/>
        <w:i w:val="0"/>
        <w:color w:val="666666"/>
        <w:sz w:val="16"/>
      </w:rPr>
      <w:t>Copyright © ISO Toolkits | www.iso-toolkits.org | info@iso-toolkits.org</w:t>
    </w:r>
  </w:p>
  <w:p>
    <w:pPr>
      <w:spacing w:before="0" w:after="0"/>
      <w:jc w:val="center"/>
    </w:pPr>
    <w:r>
      <w:rPr>
        <w:rFonts w:ascii="Cambria" w:hAnsi="Cambria" w:eastAsia="Cambria"/>
        <w:b w:val="0"/>
        <w:i w:val="0"/>
        <w:color w:val="666666"/>
        <w:sz w:val="16"/>
      </w:rPr>
      <w:t xml:space="preserve">CONTROLLED DOCUMENT | INTERNAL | Page </w:t>
    </w:r>
    <w:r>
      <w:fldChar w:fldCharType="begin"/>
    </w:r>
    <w:r>
      <w:instrText xml:space="preserve"> PAGE </w:instrText>
    </w:r>
    <w:r>
      <w:fldChar w:fldCharType="separate"/>
    </w:r>
    <w:r>
      <w:rPr>
        <w:rFonts w:ascii="Cambria" w:hAnsi="Cambria" w:eastAsia="Cambria"/>
        <w:b w:val="0"/>
        <w:i w:val="0"/>
        <w:color w:val="666666"/>
        <w:sz w:val="16"/>
      </w:rPr>
      <w:t>1</w:t>
    </w:r>
    <w:r>
      <w:fldChar w:fldCharType="end"/>
    </w:r>
    <w:r>
      <w:rPr>
        <w:rFonts w:ascii="Cambria" w:hAnsi="Cambria" w:eastAsia="Cambria"/>
        <w:b w:val="0"/>
        <w:i w:val="0"/>
        <w:color w:val="666666"/>
        <w:sz w:val="16"/>
      </w:rPr>
      <w:t xml:space="preserve"> of </w:t>
    </w:r>
    <w:r>
      <w:fldChar w:fldCharType="begin"/>
    </w:r>
    <w:r>
      <w:instrText xml:space="preserve"> NUMPAGES </w:instrText>
    </w:r>
    <w:r>
      <w:fldChar w:fldCharType="separate"/>
    </w:r>
    <w:r>
      <w:rPr>
        <w:rFonts w:ascii="Cambria" w:hAnsi="Cambria" w:eastAsia="Cambria"/>
        <w:b w:val="0"/>
        <w:i w:val="0"/>
        <w:color w:val="666666"/>
        <w:sz w:val="16"/>
      </w:rPr>
      <w:t>1</w:t>
    </w:r>
    <w:r>
      <w:fldChar w:fldCharType="end"/>
    </w:r>
  </w:p>
</w:ftr>
</file>

<file path=word/header1.xml><?xml version="1.0" encoding="utf-8"?>
<w:hdr xmlns:w="http://schemas.openxmlformats.org/wordprocessingml/2006/main">
  <w:p>
    <w:pPr>
      <w:pStyle w:val="Header"/>
      <w:spacing w:after="0"/>
    </w:pPr>
  </w:p>
  <w:tbl>
    <w:tblPr>
      <w:tblW w:type="auto" w:w="0"/>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ayout w:type="fixed"/>
      <w:tblLook w:val="04A0"/>
    </w:tblPr>
    <w:tblGrid>
      <w:gridCol w:w="3118"/>
      <w:gridCol w:w="3118"/>
      <w:gridCol w:w="3118"/>
    </w:tblGrid>
    <w:tr>
      <w:tc>
        <w:tcPr>
          <w:tcW w:type="dxa" w:w="2041"/>
          <w:tcMar>
            <w:top w:w="45" w:type="dxa"/>
            <w:left w:w="65" w:type="dxa"/>
            <w:bottom w:w="45" w:type="dxa"/>
            <w:right w:w="65" w:type="dxa"/>
          </w:tcMar>
          <w:vAlign w:val="center"/>
        </w:tcPr>
        <w:p>
          <w:pPr>
            <w:jc w:val="center"/>
          </w:pPr>
          <w:r>
            <w:rPr>
              <w:rFonts w:ascii="Cambria" w:hAnsi="Cambria" w:eastAsia="Cambria"/>
              <w:b/>
              <w:i w:val="0"/>
              <w:color w:val="1F4E79"/>
              <w:sz w:val="16"/>
            </w:rPr>
            <w:t>ORGANIZATION</w:t>
            <w:br/>
            <w:t>LOGO</w:t>
          </w:r>
        </w:p>
      </w:tc>
      <w:tc>
        <w:tcPr>
          <w:tcW w:type="dxa" w:w="4932"/>
          <w:tcMar>
            <w:top w:w="45" w:type="dxa"/>
            <w:left w:w="65" w:type="dxa"/>
            <w:bottom w:w="45" w:type="dxa"/>
            <w:right w:w="65" w:type="dxa"/>
          </w:tcMar>
          <w:vAlign w:val="center"/>
        </w:tcPr>
        <w:p>
          <w:pPr>
            <w:jc w:val="center"/>
          </w:pPr>
          <w:r>
            <w:rPr>
              <w:rFonts w:ascii="Cambria" w:hAnsi="Cambria" w:eastAsia="Cambria"/>
              <w:b/>
              <w:i w:val="0"/>
              <w:color w:val="1F4E79"/>
              <w:sz w:val="16"/>
            </w:rPr>
            <w:t>ORGANIZATION NAME</w:t>
            <w:br/>
          </w:r>
          <w:r>
            <w:rPr>
              <w:rFonts w:ascii="Cambria" w:hAnsi="Cambria" w:eastAsia="Cambria"/>
              <w:b/>
              <w:i w:val="0"/>
              <w:color w:val="000000"/>
              <w:sz w:val="18"/>
            </w:rPr>
            <w:t>OH&amp;S Policy, Objectives &amp; Indicators Guidance</w:t>
          </w:r>
        </w:p>
      </w:tc>
      <w:tc>
        <w:tcPr>
          <w:tcW w:type="dxa" w:w="2381"/>
          <w:tcMar>
            <w:top w:w="45" w:type="dxa"/>
            <w:left w:w="65" w:type="dxa"/>
            <w:bottom w:w="45" w:type="dxa"/>
            <w:right w:w="65" w:type="dxa"/>
          </w:tcMar>
          <w:vAlign w:val="center"/>
        </w:tcPr>
        <w:p>
          <w:pPr>
            <w:jc w:val="center"/>
          </w:pPr>
          <w:r>
            <w:rPr>
              <w:rFonts w:ascii="Cambria" w:hAnsi="Cambria" w:eastAsia="Cambria"/>
              <w:b w:val="0"/>
              <w:i w:val="0"/>
              <w:color w:val="000000"/>
              <w:sz w:val="14"/>
            </w:rPr>
            <w:t>OHSMS-GOV-003</w:t>
            <w:br/>
            <w:t>Version 1.0</w:t>
            <w:br/>
            <w:t>Effective 2026-09-18</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OH&amp;S Policy, Objectives &amp; Indicators Guidance</dc:title>
  <dc:subject>Practical guidance for OH&amp;S policy, objectives, indicators, targets and review.</dc:subject>
  <dc:creator>ISO Toolkits</dc:creator>
  <cp:keywords>ISO 45001:2018, Amendment 1:2024, OH&amp;S, OHSMS</cp:keywords>
  <dc:description>Built using Word 2007-compatible OOXML rules.</dc:description>
  <cp:lastModifiedBy/>
  <cp:revision>1</cp:revision>
  <dcterms:created xsi:type="dcterms:W3CDTF">2013-12-23T23:15:00Z</dcterms:created>
  <dcterms:modified xsi:type="dcterms:W3CDTF">2013-12-23T23:15:00Z</dcterms:modified>
  <cp:category/>
</cp:coreProperties>
</file>