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40" w:after="40"/>
        <w:jc w:val="center"/>
      </w:pPr>
      <w:r>
        <w:rPr>
          <w:rFonts w:ascii="Cambria" w:hAnsi="Cambria" w:eastAsia="Cambria"/>
          <w:b/>
          <w:i w:val="0"/>
          <w:color w:val="1F4E79"/>
          <w:sz w:val="36"/>
        </w:rPr>
        <w:t>INTERNAL HEALTH &amp; SAFETY AUDIT PROCEDURE</w:t>
      </w:r>
    </w:p>
    <w:p>
      <w:pPr>
        <w:spacing w:after="100"/>
        <w:jc w:val="center"/>
      </w:pPr>
      <w:r>
        <w:rPr>
          <w:rFonts w:ascii="Cambria" w:hAnsi="Cambria" w:eastAsia="Cambria"/>
          <w:b/>
          <w:i w:val="0"/>
          <w:color w:val="000000"/>
          <w:sz w:val="18"/>
        </w:rPr>
        <w:t>ISO 45001:2018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OH&amp;S Manager / OH&amp;SMS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20" w:after="50"/>
      </w:pPr>
      <w:r>
        <w:rPr>
          <w:rFonts w:ascii="Cambria" w:hAnsi="Cambria" w:eastAsia="Cambria"/>
          <w:b/>
          <w:i w:val="0"/>
          <w:color w:val="1F4E79"/>
          <w:sz w:val="24"/>
        </w:rPr>
        <w:t>1. Purpose</w:t>
      </w:r>
    </w:p>
    <w:p>
      <w:pPr>
        <w:spacing w:after="50" w:line="245" w:lineRule="auto"/>
      </w:pPr>
      <w:r>
        <w:rPr>
          <w:rFonts w:ascii="Cambria" w:hAnsi="Cambria" w:eastAsia="Cambria"/>
          <w:b w:val="0"/>
          <w:i w:val="0"/>
          <w:color w:val="000000"/>
          <w:sz w:val="19"/>
        </w:rPr>
        <w:t>Define a consistent, risk-based process for planning, conducting, reporting and following up internal audits of the OH&amp;SMS. Internal audits provide objective evidence on conformity and effective implementation and support continual improvement of OH&amp;S performance.</w:t>
      </w:r>
    </w:p>
    <w:p>
      <w:pPr>
        <w:keepNext/>
        <w:spacing w:before="120" w:after="50"/>
      </w:pPr>
      <w:r>
        <w:rPr>
          <w:rFonts w:ascii="Cambria" w:hAnsi="Cambria" w:eastAsia="Cambria"/>
          <w:b/>
          <w:i w:val="0"/>
          <w:color w:val="1F4E79"/>
          <w:sz w:val="24"/>
        </w:rPr>
        <w:t>2. Scope</w:t>
      </w:r>
    </w:p>
    <w:p>
      <w:pPr>
        <w:spacing w:after="50" w:line="245" w:lineRule="auto"/>
      </w:pPr>
      <w:r>
        <w:rPr>
          <w:rFonts w:ascii="Cambria" w:hAnsi="Cambria" w:eastAsia="Cambria"/>
          <w:b w:val="0"/>
          <w:i w:val="0"/>
          <w:color w:val="000000"/>
          <w:sz w:val="19"/>
        </w:rPr>
        <w:t>This procedure applies to internal audits of OH&amp;SMS processes, legal/compliance arrangements and selected operational controls within the approved scope. Audit coverage includes worker consultation/participation and workplace observation where relevant to the audit objective.</w:t>
      </w:r>
    </w:p>
    <w:p>
      <w:pPr>
        <w:keepNext/>
        <w:spacing w:before="120" w:after="50"/>
      </w:pPr>
      <w:r>
        <w:rPr>
          <w:rFonts w:ascii="Cambria" w:hAnsi="Cambria" w:eastAsia="Cambria"/>
          <w:b/>
          <w:i w:val="0"/>
          <w:color w:val="1F4E79"/>
          <w:sz w:val="24"/>
        </w:rPr>
        <w:t>3. References</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ISO 45001:2018 and ISO 45001:2018/Amd 1:2024.</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ISO 19011:2026 - Guidelines for auditing management systems.</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OH&amp;SMS scope, legal/other requirements register, hazard/risk register, incident history and applicable procedures.</w:t>
      </w:r>
    </w:p>
    <w:p>
      <w:pPr>
        <w:keepNext/>
        <w:spacing w:before="120" w:after="50"/>
      </w:pPr>
      <w:r>
        <w:rPr>
          <w:rFonts w:ascii="Cambria" w:hAnsi="Cambria" w:eastAsia="Cambria"/>
          <w:b/>
          <w:i w:val="0"/>
          <w:color w:val="1F4E79"/>
          <w:sz w:val="24"/>
        </w:rPr>
        <w:t>4. Responsibilities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94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Role</w:t>
            </w:r>
          </w:p>
        </w:tc>
        <w:tc>
          <w:tcPr>
            <w:tcW w:type="dxa" w:w="6406"/>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Responsibilities</w:t>
            </w:r>
          </w:p>
        </w:tc>
      </w:tr>
      <w:tr>
        <w:trPr>
          <w:cantSplit/>
        </w:trPr>
        <w:tc>
          <w:tcPr>
            <w:tcW w:type="dxa" w:w="2948"/>
            <w:tcMar>
              <w:top w:w="70" w:type="dxa"/>
              <w:left w:w="80" w:type="dxa"/>
              <w:bottom w:w="70" w:type="dxa"/>
              <w:right w:w="80" w:type="dxa"/>
            </w:tcMar>
          </w:tcPr>
          <w:p>
            <w:pPr>
              <w:spacing w:after="0"/>
              <w:jc w:val="left"/>
            </w:pPr>
            <w:r>
              <w:rPr>
                <w:rFonts w:ascii="Cambria" w:hAnsi="Cambria" w:eastAsia="Cambria"/>
                <w:b w:val="0"/>
                <w:i w:val="0"/>
                <w:color w:val="000000"/>
                <w:sz w:val="15"/>
              </w:rPr>
              <w:t>Top Management</w:t>
            </w:r>
          </w:p>
        </w:tc>
        <w:tc>
          <w:tcPr>
            <w:tcW w:type="dxa" w:w="6406"/>
            <w:tcMar>
              <w:top w:w="70" w:type="dxa"/>
              <w:left w:w="80" w:type="dxa"/>
              <w:bottom w:w="70" w:type="dxa"/>
              <w:right w:w="80" w:type="dxa"/>
            </w:tcMar>
          </w:tcPr>
          <w:p>
            <w:pPr>
              <w:spacing w:after="0"/>
              <w:jc w:val="left"/>
            </w:pPr>
            <w:r>
              <w:rPr>
                <w:rFonts w:ascii="Cambria" w:hAnsi="Cambria" w:eastAsia="Cambria"/>
                <w:b w:val="0"/>
                <w:i w:val="0"/>
                <w:color w:val="000000"/>
                <w:sz w:val="15"/>
              </w:rPr>
              <w:t>Support audit objectivity, ensure serious issues can be escalated and review significant results through management review.</w:t>
            </w:r>
          </w:p>
        </w:tc>
      </w:tr>
      <w:tr>
        <w:trPr>
          <w:cantSplit/>
        </w:trPr>
        <w:tc>
          <w:tcPr>
            <w:tcW w:type="dxa" w:w="2948"/>
            <w:tcMar>
              <w:top w:w="70" w:type="dxa"/>
              <w:left w:w="80" w:type="dxa"/>
              <w:bottom w:w="70" w:type="dxa"/>
              <w:right w:w="80" w:type="dxa"/>
            </w:tcMar>
          </w:tcPr>
          <w:p>
            <w:pPr>
              <w:spacing w:after="0"/>
              <w:jc w:val="left"/>
            </w:pPr>
            <w:r>
              <w:rPr>
                <w:rFonts w:ascii="Cambria" w:hAnsi="Cambria" w:eastAsia="Cambria"/>
                <w:b w:val="0"/>
                <w:i w:val="0"/>
                <w:color w:val="000000"/>
                <w:sz w:val="15"/>
              </w:rPr>
              <w:t>OH&amp;S Manager / Audit Programme Manager</w:t>
            </w:r>
          </w:p>
        </w:tc>
        <w:tc>
          <w:tcPr>
            <w:tcW w:type="dxa" w:w="6406"/>
            <w:tcMar>
              <w:top w:w="70" w:type="dxa"/>
              <w:left w:w="80" w:type="dxa"/>
              <w:bottom w:w="70" w:type="dxa"/>
              <w:right w:w="80" w:type="dxa"/>
            </w:tcMar>
          </w:tcPr>
          <w:p>
            <w:pPr>
              <w:spacing w:after="0"/>
              <w:jc w:val="left"/>
            </w:pPr>
            <w:r>
              <w:rPr>
                <w:rFonts w:ascii="Cambria" w:hAnsi="Cambria" w:eastAsia="Cambria"/>
                <w:b w:val="0"/>
                <w:i w:val="0"/>
                <w:color w:val="000000"/>
                <w:sz w:val="15"/>
              </w:rPr>
              <w:t>Maintain the audit programme, assign competent auditors, coordinate coverage, track findings and report status.</w:t>
            </w:r>
          </w:p>
        </w:tc>
      </w:tr>
      <w:tr>
        <w:trPr>
          <w:cantSplit/>
        </w:trPr>
        <w:tc>
          <w:tcPr>
            <w:tcW w:type="dxa" w:w="2948"/>
            <w:tcMar>
              <w:top w:w="70" w:type="dxa"/>
              <w:left w:w="80" w:type="dxa"/>
              <w:bottom w:w="70" w:type="dxa"/>
              <w:right w:w="80" w:type="dxa"/>
            </w:tcMar>
          </w:tcPr>
          <w:p>
            <w:pPr>
              <w:spacing w:after="0"/>
              <w:jc w:val="left"/>
            </w:pPr>
            <w:r>
              <w:rPr>
                <w:rFonts w:ascii="Cambria" w:hAnsi="Cambria" w:eastAsia="Cambria"/>
                <w:b w:val="0"/>
                <w:i w:val="0"/>
                <w:color w:val="000000"/>
                <w:sz w:val="15"/>
              </w:rPr>
              <w:t>Lead Auditor</w:t>
            </w:r>
          </w:p>
        </w:tc>
        <w:tc>
          <w:tcPr>
            <w:tcW w:type="dxa" w:w="6406"/>
            <w:tcMar>
              <w:top w:w="70" w:type="dxa"/>
              <w:left w:w="80" w:type="dxa"/>
              <w:bottom w:w="70" w:type="dxa"/>
              <w:right w:w="80" w:type="dxa"/>
            </w:tcMar>
          </w:tcPr>
          <w:p>
            <w:pPr>
              <w:spacing w:after="0"/>
              <w:jc w:val="left"/>
            </w:pPr>
            <w:r>
              <w:rPr>
                <w:rFonts w:ascii="Cambria" w:hAnsi="Cambria" w:eastAsia="Cambria"/>
                <w:b w:val="0"/>
                <w:i w:val="0"/>
                <w:color w:val="000000"/>
                <w:sz w:val="15"/>
              </w:rPr>
              <w:t>Prepare the audit plan, lead audit activities, evaluate evidence, communicate urgent risks and issue the audit report.</w:t>
            </w:r>
          </w:p>
        </w:tc>
      </w:tr>
      <w:tr>
        <w:trPr>
          <w:cantSplit/>
        </w:trPr>
        <w:tc>
          <w:tcPr>
            <w:tcW w:type="dxa" w:w="2948"/>
            <w:tcMar>
              <w:top w:w="70" w:type="dxa"/>
              <w:left w:w="80" w:type="dxa"/>
              <w:bottom w:w="70" w:type="dxa"/>
              <w:right w:w="80" w:type="dxa"/>
            </w:tcMar>
          </w:tcPr>
          <w:p>
            <w:pPr>
              <w:spacing w:after="0"/>
              <w:jc w:val="left"/>
            </w:pPr>
            <w:r>
              <w:rPr>
                <w:rFonts w:ascii="Cambria" w:hAnsi="Cambria" w:eastAsia="Cambria"/>
                <w:b w:val="0"/>
                <w:i w:val="0"/>
                <w:color w:val="000000"/>
                <w:sz w:val="15"/>
              </w:rPr>
              <w:t>Auditor(s)</w:t>
            </w:r>
          </w:p>
        </w:tc>
        <w:tc>
          <w:tcPr>
            <w:tcW w:type="dxa" w:w="6406"/>
            <w:tcMar>
              <w:top w:w="70" w:type="dxa"/>
              <w:left w:w="80" w:type="dxa"/>
              <w:bottom w:w="70" w:type="dxa"/>
              <w:right w:w="80" w:type="dxa"/>
            </w:tcMar>
          </w:tcPr>
          <w:p>
            <w:pPr>
              <w:spacing w:after="0"/>
              <w:jc w:val="left"/>
            </w:pPr>
            <w:r>
              <w:rPr>
                <w:rFonts w:ascii="Cambria" w:hAnsi="Cambria" w:eastAsia="Cambria"/>
                <w:b w:val="0"/>
                <w:i w:val="0"/>
                <w:color w:val="000000"/>
                <w:sz w:val="15"/>
              </w:rPr>
              <w:t>Collect/evaluate objective evidence, protect confidentiality and report findings without bias.</w:t>
            </w:r>
          </w:p>
        </w:tc>
      </w:tr>
      <w:tr>
        <w:trPr>
          <w:cantSplit/>
        </w:trPr>
        <w:tc>
          <w:tcPr>
            <w:tcW w:type="dxa" w:w="2948"/>
            <w:tcMar>
              <w:top w:w="70" w:type="dxa"/>
              <w:left w:w="80" w:type="dxa"/>
              <w:bottom w:w="70" w:type="dxa"/>
              <w:right w:w="80" w:type="dxa"/>
            </w:tcMar>
          </w:tcPr>
          <w:p>
            <w:pPr>
              <w:spacing w:after="0"/>
              <w:jc w:val="left"/>
            </w:pPr>
            <w:r>
              <w:rPr>
                <w:rFonts w:ascii="Cambria" w:hAnsi="Cambria" w:eastAsia="Cambria"/>
                <w:b w:val="0"/>
                <w:i w:val="0"/>
                <w:color w:val="000000"/>
                <w:sz w:val="15"/>
              </w:rPr>
              <w:t>Process / Area Owner</w:t>
            </w:r>
          </w:p>
        </w:tc>
        <w:tc>
          <w:tcPr>
            <w:tcW w:type="dxa" w:w="6406"/>
            <w:tcMar>
              <w:top w:w="70" w:type="dxa"/>
              <w:left w:w="80" w:type="dxa"/>
              <w:bottom w:w="70" w:type="dxa"/>
              <w:right w:w="80" w:type="dxa"/>
            </w:tcMar>
          </w:tcPr>
          <w:p>
            <w:pPr>
              <w:spacing w:after="0"/>
              <w:jc w:val="left"/>
            </w:pPr>
            <w:r>
              <w:rPr>
                <w:rFonts w:ascii="Cambria" w:hAnsi="Cambria" w:eastAsia="Cambria"/>
                <w:b w:val="0"/>
                <w:i w:val="0"/>
                <w:color w:val="000000"/>
                <w:sz w:val="15"/>
              </w:rPr>
              <w:t>Provide access, support worker interviews, confirm facts and implement assigned actions.</w:t>
            </w:r>
          </w:p>
        </w:tc>
      </w:tr>
      <w:tr>
        <w:trPr>
          <w:cantSplit/>
        </w:trPr>
        <w:tc>
          <w:tcPr>
            <w:tcW w:type="dxa" w:w="2948"/>
            <w:tcMar>
              <w:top w:w="70" w:type="dxa"/>
              <w:left w:w="80" w:type="dxa"/>
              <w:bottom w:w="70" w:type="dxa"/>
              <w:right w:w="80" w:type="dxa"/>
            </w:tcMar>
          </w:tcPr>
          <w:p>
            <w:pPr>
              <w:spacing w:after="0"/>
              <w:jc w:val="left"/>
            </w:pPr>
            <w:r>
              <w:rPr>
                <w:rFonts w:ascii="Cambria" w:hAnsi="Cambria" w:eastAsia="Cambria"/>
                <w:b w:val="0"/>
                <w:i w:val="0"/>
                <w:color w:val="000000"/>
                <w:sz w:val="15"/>
              </w:rPr>
              <w:t>Workers / Representatives</w:t>
            </w:r>
          </w:p>
        </w:tc>
        <w:tc>
          <w:tcPr>
            <w:tcW w:type="dxa" w:w="6406"/>
            <w:tcMar>
              <w:top w:w="70" w:type="dxa"/>
              <w:left w:w="80" w:type="dxa"/>
              <w:bottom w:w="70" w:type="dxa"/>
              <w:right w:w="80" w:type="dxa"/>
            </w:tcMar>
          </w:tcPr>
          <w:p>
            <w:pPr>
              <w:spacing w:after="0"/>
              <w:jc w:val="left"/>
            </w:pPr>
            <w:r>
              <w:rPr>
                <w:rFonts w:ascii="Cambria" w:hAnsi="Cambria" w:eastAsia="Cambria"/>
                <w:b w:val="0"/>
                <w:i w:val="0"/>
                <w:color w:val="000000"/>
                <w:sz w:val="15"/>
              </w:rPr>
              <w:t>Provide evidence on actual work, hazards, controls and participation arrangements when sampled.</w:t>
            </w:r>
          </w:p>
        </w:tc>
      </w:tr>
    </w:tbl>
    <w:p>
      <w:pPr>
        <w:spacing w:after="0"/>
      </w:pPr>
    </w:p>
    <w:p>
      <w:pPr>
        <w:keepNext/>
        <w:spacing w:before="120" w:after="50"/>
      </w:pPr>
      <w:r>
        <w:rPr>
          <w:rFonts w:ascii="Cambria" w:hAnsi="Cambria" w:eastAsia="Cambria"/>
          <w:b/>
          <w:i w:val="0"/>
          <w:color w:val="1F4E79"/>
          <w:sz w:val="24"/>
        </w:rPr>
        <w:t>5. Auditor Competence, Objectivity and Safety</w:t>
      </w:r>
    </w:p>
    <w:p>
      <w:pPr>
        <w:spacing w:after="50" w:line="245" w:lineRule="auto"/>
      </w:pPr>
      <w:r>
        <w:rPr>
          <w:rFonts w:ascii="Cambria" w:hAnsi="Cambria" w:eastAsia="Cambria"/>
          <w:b w:val="0"/>
          <w:i w:val="0"/>
          <w:color w:val="000000"/>
          <w:sz w:val="19"/>
        </w:rPr>
        <w:t>Auditors should have audit competence plus sufficient OH&amp;S knowledge for the assigned scope. Specialist support may be used for technical hazards, legal topics or exposure controls. Auditors should not audit their own work where this could compromise objectivity.</w:t>
      </w:r>
    </w:p>
    <w:p>
      <w:pPr>
        <w:spacing w:after="50" w:line="245" w:lineRule="auto"/>
      </w:pPr>
      <w:r>
        <w:rPr>
          <w:rFonts w:ascii="Cambria" w:hAnsi="Cambria" w:eastAsia="Cambria"/>
          <w:b w:val="0"/>
          <w:i w:val="0"/>
          <w:color w:val="000000"/>
          <w:sz w:val="19"/>
        </w:rPr>
        <w:t>Audit activities shall not create additional safety risk. Auditors comply with site rules, permits, PPE and access controls. Unsafe conditions identified during the audit are escalated through normal operational/emergency channels rather than waiting for the final report.</w:t>
      </w:r>
    </w:p>
    <w:p>
      <w:pPr>
        <w:keepNext/>
        <w:spacing w:before="120" w:after="50"/>
      </w:pPr>
      <w:r>
        <w:rPr>
          <w:rFonts w:ascii="Cambria" w:hAnsi="Cambria" w:eastAsia="Cambria"/>
          <w:b/>
          <w:i w:val="0"/>
          <w:color w:val="1F4E79"/>
          <w:sz w:val="24"/>
        </w:rPr>
        <w:t>6. Procedure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124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4"/>
              </w:rPr>
              <w:t>Step</w:t>
            </w:r>
          </w:p>
        </w:tc>
        <w:tc>
          <w:tcPr>
            <w:tcW w:type="dxa" w:w="215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4"/>
              </w:rPr>
              <w:t>Responsible</w:t>
            </w:r>
          </w:p>
        </w:tc>
        <w:tc>
          <w:tcPr>
            <w:tcW w:type="dxa" w:w="4309"/>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4"/>
              </w:rPr>
              <w:t>Activity</w:t>
            </w:r>
          </w:p>
        </w:tc>
        <w:tc>
          <w:tcPr>
            <w:tcW w:type="dxa" w:w="164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4"/>
              </w:rPr>
              <w:t>Output / Record</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1. Establish / update programme</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Audit Programme Manager</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Plan coverage using OH&amp;S risk, legal significance, process importance, worker concerns, incidents, changes and previous results.</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Audit programme / schedule</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2. Assign team</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Audit Programme Manager</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Select competent, objective auditors and confirm specialist needs.</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Audit assignment</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3. Define objective, scope and criteria</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Lead Auditor</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Define areas, activities, workers, locations, legal/internal criteria, evidence period and sampling approach.</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Audit brief / plan</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4. Prepare</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Lead Auditor / Team</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Review risk assessments, incidents, legal status, objectives, changes, inspections, monitoring and previous findings.</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Audit plan / working notes</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5. Confirm arrangements</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Lead Auditor</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Agree timing, worker contacts, site access, PPE, permits, confidentiality and logistics.</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Confirmed schedule</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6. Opening meeting</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Lead Auditor</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Confirm scope, criteria, sampling, communication, safety rules, urgent-risk escalation and worker involvement.</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Opening record / attendance</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7. Collect evidence</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Audit Team</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Interview workers/managers, observe work, inspect workplaces and review records. Trace samples from hazard/risk through control and evidence.</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Evidence notes / samples</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8. Evaluate evidence</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Audit Team</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Compare evidence with criteria and determine conformity, OFI or nonconformity. Consider sampling limitations.</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Draft findings</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9. Urgent risk escalation</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Lead Auditor</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Where an immediate/serious OH&amp;S risk is identified, ensure operational response/escalation without waiting for audit closure.</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Escalation / action record</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10. Closing meeting</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Lead Auditor</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Present conclusions/findings, confirm factual accuracy and explain action/follow-up expectations.</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Closing record</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11. Issue report</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Lead Auditor</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Issue concise report with scope, criteria, evidence, findings, conclusions, limitations and follow-up.</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Audit report</w:t>
            </w:r>
          </w:p>
        </w:tc>
      </w:tr>
      <w:tr>
        <w:trPr>
          <w:cantSplit/>
        </w:trPr>
        <w:tc>
          <w:tcPr>
            <w:tcW w:type="dxa" w:w="1247"/>
            <w:tcMar>
              <w:top w:w="70" w:type="dxa"/>
              <w:left w:w="80" w:type="dxa"/>
              <w:bottom w:w="70" w:type="dxa"/>
              <w:right w:w="80" w:type="dxa"/>
            </w:tcMar>
          </w:tcPr>
          <w:p>
            <w:pPr>
              <w:spacing w:after="0"/>
              <w:jc w:val="left"/>
            </w:pPr>
            <w:r>
              <w:rPr>
                <w:rFonts w:ascii="Cambria" w:hAnsi="Cambria" w:eastAsia="Cambria"/>
                <w:b w:val="0"/>
                <w:i w:val="0"/>
                <w:color w:val="000000"/>
                <w:sz w:val="14"/>
              </w:rPr>
              <w:t>12. Corrective action and closure</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4"/>
              </w:rPr>
              <w:t>Area Owner / Verifier</w:t>
            </w:r>
          </w:p>
        </w:tc>
        <w:tc>
          <w:tcPr>
            <w:tcW w:type="dxa" w:w="4309"/>
            <w:tcMar>
              <w:top w:w="70" w:type="dxa"/>
              <w:left w:w="80" w:type="dxa"/>
              <w:bottom w:w="70" w:type="dxa"/>
              <w:right w:w="80" w:type="dxa"/>
            </w:tcMar>
          </w:tcPr>
          <w:p>
            <w:pPr>
              <w:spacing w:after="0"/>
              <w:jc w:val="left"/>
            </w:pPr>
            <w:r>
              <w:rPr>
                <w:rFonts w:ascii="Cambria" w:hAnsi="Cambria" w:eastAsia="Cambria"/>
                <w:b w:val="0"/>
                <w:i w:val="0"/>
                <w:color w:val="000000"/>
                <w:sz w:val="14"/>
              </w:rPr>
              <w:t>Correct issues, analyze causes where required, implement action and verify effectiveness before closure.</w:t>
            </w:r>
          </w:p>
        </w:tc>
        <w:tc>
          <w:tcPr>
            <w:tcW w:type="dxa" w:w="1644"/>
            <w:tcMar>
              <w:top w:w="70" w:type="dxa"/>
              <w:left w:w="80" w:type="dxa"/>
              <w:bottom w:w="70" w:type="dxa"/>
              <w:right w:w="80" w:type="dxa"/>
            </w:tcMar>
          </w:tcPr>
          <w:p>
            <w:pPr>
              <w:spacing w:after="0"/>
              <w:jc w:val="left"/>
            </w:pPr>
            <w:r>
              <w:rPr>
                <w:rFonts w:ascii="Cambria" w:hAnsi="Cambria" w:eastAsia="Cambria"/>
                <w:b w:val="0"/>
                <w:i w:val="0"/>
                <w:color w:val="000000"/>
                <w:sz w:val="14"/>
              </w:rPr>
              <w:t>Corrective action / closure evidence</w:t>
            </w:r>
          </w:p>
        </w:tc>
      </w:tr>
    </w:tbl>
    <w:p>
      <w:pPr>
        <w:spacing w:after="0"/>
      </w:pPr>
    </w:p>
    <w:p>
      <w:pPr>
        <w:keepNext/>
        <w:spacing w:before="120" w:after="50"/>
      </w:pPr>
      <w:r>
        <w:rPr>
          <w:rFonts w:ascii="Cambria" w:hAnsi="Cambria" w:eastAsia="Cambria"/>
          <w:b/>
          <w:i w:val="0"/>
          <w:color w:val="1F4E79"/>
          <w:sz w:val="24"/>
        </w:rPr>
        <w:t>7. Risk-Based Sampling</w:t>
      </w:r>
    </w:p>
    <w:p>
      <w:pPr>
        <w:spacing w:after="50" w:line="245" w:lineRule="auto"/>
      </w:pPr>
      <w:r>
        <w:rPr>
          <w:rFonts w:ascii="Cambria" w:hAnsi="Cambria" w:eastAsia="Cambria"/>
          <w:b w:val="0"/>
          <w:i w:val="0"/>
          <w:color w:val="000000"/>
          <w:sz w:val="19"/>
        </w:rPr>
        <w:t>Sampling should be sufficient to support the audit conclusion but does not require every task or record to be reviewed. Increase depth where exposure is serious, legal duties are critical, control performance is uncertain, workers report concerns, incidents occurred, change is recent or previous findings remain unresolved.</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55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Sample Dimension</w:t>
            </w:r>
          </w:p>
        </w:tc>
        <w:tc>
          <w:tcPr>
            <w:tcW w:type="dxa" w:w="680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Examples</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6"/>
              </w:rPr>
              <w:t>People</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6"/>
              </w:rPr>
              <w:t>Different shifts, worker groups, contractors, supervisors and higher-risk/vulnerable groups.</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6"/>
              </w:rPr>
              <w:t>Activities</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6"/>
              </w:rPr>
              <w:t>Routine, non-routine, maintenance, high-risk work, emergency or abnormal conditions.</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6"/>
              </w:rPr>
              <w:t>Time</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6"/>
              </w:rPr>
              <w:t>Recent records plus earlier samples to test consistency and recurrence.</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6"/>
              </w:rPr>
              <w:t>Locations</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6"/>
              </w:rPr>
              <w:t>Different work areas, sites, contractor interfaces or remote/outdoor work.</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6"/>
              </w:rPr>
              <w:t>Control state</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6"/>
              </w:rPr>
              <w:t>Normal operation, exceptions, permits, failed inspections, incidents or corrective actions.</w:t>
            </w:r>
          </w:p>
        </w:tc>
      </w:tr>
    </w:tbl>
    <w:p>
      <w:pPr>
        <w:spacing w:after="0"/>
      </w:pPr>
    </w:p>
    <w:p>
      <w:pPr>
        <w:keepNext/>
        <w:spacing w:before="120" w:after="50"/>
      </w:pPr>
      <w:r>
        <w:rPr>
          <w:rFonts w:ascii="Cambria" w:hAnsi="Cambria" w:eastAsia="Cambria"/>
          <w:b/>
          <w:i w:val="0"/>
          <w:color w:val="1F4E79"/>
          <w:sz w:val="24"/>
        </w:rPr>
        <w:t>8. Finding Classification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55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Classification</w:t>
            </w:r>
          </w:p>
        </w:tc>
        <w:tc>
          <w:tcPr>
            <w:tcW w:type="dxa" w:w="680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Practical Use</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Conformity</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Evidence supports that the applicable audit criterion is met.</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OFI</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No nonconformity is demonstrated, but a practical strengthening opportunity is identified.</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Minor Nonconformity</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A limited failure to meet an applicable criterion that does not indicate a broad/systemic breakdown.</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Major Nonconformity</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A significant/systemic failure, absence of an essential OH&amp;SMS requirement/control, repeated unresolved condition or issue that materially undermines conformity/effectiveness.</w:t>
            </w:r>
          </w:p>
        </w:tc>
      </w:tr>
    </w:tbl>
    <w:p>
      <w:pPr>
        <w:spacing w:after="0"/>
      </w:pPr>
    </w:p>
    <w:p>
      <w:pPr>
        <w:spacing w:after="50" w:line="245" w:lineRule="auto"/>
      </w:pPr>
      <w:r>
        <w:rPr>
          <w:rFonts w:ascii="Cambria" w:hAnsi="Cambria" w:eastAsia="Cambria"/>
          <w:b w:val="0"/>
          <w:i/>
          <w:color w:val="000000"/>
          <w:sz w:val="19"/>
        </w:rPr>
        <w:t>Internal classification may be adapted to the organization. External certification bodies may use their own finding classification rules.</w:t>
      </w:r>
    </w:p>
    <w:p>
      <w:pPr>
        <w:keepNext/>
        <w:spacing w:before="120" w:after="50"/>
      </w:pPr>
      <w:r>
        <w:rPr>
          <w:rFonts w:ascii="Cambria" w:hAnsi="Cambria" w:eastAsia="Cambria"/>
          <w:b/>
          <w:i w:val="0"/>
          <w:color w:val="1F4E79"/>
          <w:sz w:val="24"/>
        </w:rPr>
        <w:t>9. Finding Quality</w:t>
      </w:r>
    </w:p>
    <w:p>
      <w:pPr>
        <w:spacing w:after="50" w:line="245" w:lineRule="auto"/>
      </w:pPr>
      <w:r>
        <w:rPr>
          <w:rFonts w:ascii="Cambria" w:hAnsi="Cambria" w:eastAsia="Cambria"/>
          <w:b w:val="0"/>
          <w:i w:val="0"/>
          <w:color w:val="000000"/>
          <w:sz w:val="19"/>
        </w:rPr>
        <w:t>A nonconformity should identify the applicable criterion, objective evidence and the demonstrated failure to fulfil the criterion. Keep conclusions factual. Do not infer blame, motive or worker fault where the evidence points to system, design, workload, supervision, competence or control weaknesses.</w:t>
      </w:r>
    </w:p>
    <w:p>
      <w:pPr>
        <w:keepNext/>
        <w:spacing w:before="120" w:after="50"/>
      </w:pPr>
      <w:r>
        <w:rPr>
          <w:rFonts w:ascii="Cambria" w:hAnsi="Cambria" w:eastAsia="Cambria"/>
          <w:b/>
          <w:i w:val="0"/>
          <w:color w:val="1F4E79"/>
          <w:sz w:val="24"/>
        </w:rPr>
        <w:t>10. Escalation</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Immediate/serious danger is escalated through operational or emergency response arrangements.</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Suspected material legal noncompliance is escalated to the authorized compliance/governance route.</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Overdue major/high-risk audit actions are escalated through OH&amp;SMS governance and management review as appropriate.</w:t>
      </w:r>
    </w:p>
    <w:p>
      <w:pPr>
        <w:keepNext/>
        <w:spacing w:before="120" w:after="50"/>
      </w:pPr>
      <w:r>
        <w:rPr>
          <w:rFonts w:ascii="Cambria" w:hAnsi="Cambria" w:eastAsia="Cambria"/>
          <w:b/>
          <w:i w:val="0"/>
          <w:color w:val="1F4E79"/>
          <w:sz w:val="24"/>
        </w:rPr>
        <w:t>11. Required Records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665"/>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Record</w:t>
            </w:r>
          </w:p>
        </w:tc>
        <w:tc>
          <w:tcPr>
            <w:tcW w:type="dxa" w:w="6690"/>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Minimum Content</w:t>
            </w:r>
          </w:p>
        </w:tc>
      </w:tr>
      <w:tr>
        <w:trPr>
          <w:cantSplit/>
        </w:trPr>
        <w:tc>
          <w:tcPr>
            <w:tcW w:type="dxa" w:w="2665"/>
            <w:tcMar>
              <w:top w:w="70" w:type="dxa"/>
              <w:left w:w="80" w:type="dxa"/>
              <w:bottom w:w="70" w:type="dxa"/>
              <w:right w:w="80" w:type="dxa"/>
            </w:tcMar>
          </w:tcPr>
          <w:p>
            <w:pPr>
              <w:spacing w:after="0"/>
              <w:jc w:val="left"/>
            </w:pPr>
            <w:r>
              <w:rPr>
                <w:rFonts w:ascii="Cambria" w:hAnsi="Cambria" w:eastAsia="Cambria"/>
                <w:b w:val="0"/>
                <w:i w:val="0"/>
                <w:color w:val="000000"/>
                <w:sz w:val="16"/>
              </w:rPr>
              <w:t>Audit programme</w:t>
            </w:r>
          </w:p>
        </w:tc>
        <w:tc>
          <w:tcPr>
            <w:tcW w:type="dxa" w:w="6690"/>
            <w:tcMar>
              <w:top w:w="70" w:type="dxa"/>
              <w:left w:w="80" w:type="dxa"/>
              <w:bottom w:w="70" w:type="dxa"/>
              <w:right w:w="80" w:type="dxa"/>
            </w:tcMar>
          </w:tcPr>
          <w:p>
            <w:pPr>
              <w:spacing w:after="0"/>
              <w:jc w:val="left"/>
            </w:pPr>
            <w:r>
              <w:rPr>
                <w:rFonts w:ascii="Cambria" w:hAnsi="Cambria" w:eastAsia="Cambria"/>
                <w:b w:val="0"/>
                <w:i w:val="0"/>
                <w:color w:val="000000"/>
                <w:sz w:val="16"/>
              </w:rPr>
              <w:t>Planned audits, scope/area, timing and status.</w:t>
            </w:r>
          </w:p>
        </w:tc>
      </w:tr>
      <w:tr>
        <w:trPr>
          <w:cantSplit/>
        </w:trPr>
        <w:tc>
          <w:tcPr>
            <w:tcW w:type="dxa" w:w="2665"/>
            <w:tcMar>
              <w:top w:w="70" w:type="dxa"/>
              <w:left w:w="80" w:type="dxa"/>
              <w:bottom w:w="70" w:type="dxa"/>
              <w:right w:w="80" w:type="dxa"/>
            </w:tcMar>
          </w:tcPr>
          <w:p>
            <w:pPr>
              <w:spacing w:after="0"/>
              <w:jc w:val="left"/>
            </w:pPr>
            <w:r>
              <w:rPr>
                <w:rFonts w:ascii="Cambria" w:hAnsi="Cambria" w:eastAsia="Cambria"/>
                <w:b w:val="0"/>
                <w:i w:val="0"/>
                <w:color w:val="000000"/>
                <w:sz w:val="16"/>
              </w:rPr>
              <w:t>Audit plan / brief</w:t>
            </w:r>
          </w:p>
        </w:tc>
        <w:tc>
          <w:tcPr>
            <w:tcW w:type="dxa" w:w="6690"/>
            <w:tcMar>
              <w:top w:w="70" w:type="dxa"/>
              <w:left w:w="80" w:type="dxa"/>
              <w:bottom w:w="70" w:type="dxa"/>
              <w:right w:w="80" w:type="dxa"/>
            </w:tcMar>
          </w:tcPr>
          <w:p>
            <w:pPr>
              <w:spacing w:after="0"/>
              <w:jc w:val="left"/>
            </w:pPr>
            <w:r>
              <w:rPr>
                <w:rFonts w:ascii="Cambria" w:hAnsi="Cambria" w:eastAsia="Cambria"/>
                <w:b w:val="0"/>
                <w:i w:val="0"/>
                <w:color w:val="000000"/>
                <w:sz w:val="16"/>
              </w:rPr>
              <w:t>Objective, scope, criteria, team, timing, worker contacts and sampling focus.</w:t>
            </w:r>
          </w:p>
        </w:tc>
      </w:tr>
      <w:tr>
        <w:trPr>
          <w:cantSplit/>
        </w:trPr>
        <w:tc>
          <w:tcPr>
            <w:tcW w:type="dxa" w:w="2665"/>
            <w:tcMar>
              <w:top w:w="70" w:type="dxa"/>
              <w:left w:w="80" w:type="dxa"/>
              <w:bottom w:w="70" w:type="dxa"/>
              <w:right w:w="80" w:type="dxa"/>
            </w:tcMar>
          </w:tcPr>
          <w:p>
            <w:pPr>
              <w:spacing w:after="0"/>
              <w:jc w:val="left"/>
            </w:pPr>
            <w:r>
              <w:rPr>
                <w:rFonts w:ascii="Cambria" w:hAnsi="Cambria" w:eastAsia="Cambria"/>
                <w:b w:val="0"/>
                <w:i w:val="0"/>
                <w:color w:val="000000"/>
                <w:sz w:val="16"/>
              </w:rPr>
              <w:t>Working evidence</w:t>
            </w:r>
          </w:p>
        </w:tc>
        <w:tc>
          <w:tcPr>
            <w:tcW w:type="dxa" w:w="6690"/>
            <w:tcMar>
              <w:top w:w="70" w:type="dxa"/>
              <w:left w:w="80" w:type="dxa"/>
              <w:bottom w:w="70" w:type="dxa"/>
              <w:right w:w="80" w:type="dxa"/>
            </w:tcMar>
          </w:tcPr>
          <w:p>
            <w:pPr>
              <w:spacing w:after="0"/>
              <w:jc w:val="left"/>
            </w:pPr>
            <w:r>
              <w:rPr>
                <w:rFonts w:ascii="Cambria" w:hAnsi="Cambria" w:eastAsia="Cambria"/>
                <w:b w:val="0"/>
                <w:i w:val="0"/>
                <w:color w:val="000000"/>
                <w:sz w:val="16"/>
              </w:rPr>
              <w:t>Evidence notes sufficient to support conclusions, including workplace/worker evidence where relevant.</w:t>
            </w:r>
          </w:p>
        </w:tc>
      </w:tr>
      <w:tr>
        <w:trPr>
          <w:cantSplit/>
        </w:trPr>
        <w:tc>
          <w:tcPr>
            <w:tcW w:type="dxa" w:w="2665"/>
            <w:tcMar>
              <w:top w:w="70" w:type="dxa"/>
              <w:left w:w="80" w:type="dxa"/>
              <w:bottom w:w="70" w:type="dxa"/>
              <w:right w:w="80" w:type="dxa"/>
            </w:tcMar>
          </w:tcPr>
          <w:p>
            <w:pPr>
              <w:spacing w:after="0"/>
              <w:jc w:val="left"/>
            </w:pPr>
            <w:r>
              <w:rPr>
                <w:rFonts w:ascii="Cambria" w:hAnsi="Cambria" w:eastAsia="Cambria"/>
                <w:b w:val="0"/>
                <w:i w:val="0"/>
                <w:color w:val="000000"/>
                <w:sz w:val="16"/>
              </w:rPr>
              <w:t>Audit report</w:t>
            </w:r>
          </w:p>
        </w:tc>
        <w:tc>
          <w:tcPr>
            <w:tcW w:type="dxa" w:w="6690"/>
            <w:tcMar>
              <w:top w:w="70" w:type="dxa"/>
              <w:left w:w="80" w:type="dxa"/>
              <w:bottom w:w="70" w:type="dxa"/>
              <w:right w:w="80" w:type="dxa"/>
            </w:tcMar>
          </w:tcPr>
          <w:p>
            <w:pPr>
              <w:spacing w:after="0"/>
              <w:jc w:val="left"/>
            </w:pPr>
            <w:r>
              <w:rPr>
                <w:rFonts w:ascii="Cambria" w:hAnsi="Cambria" w:eastAsia="Cambria"/>
                <w:b w:val="0"/>
                <w:i w:val="0"/>
                <w:color w:val="000000"/>
                <w:sz w:val="16"/>
              </w:rPr>
              <w:t>Conclusion, coverage, findings, limitations and follow-up.</w:t>
            </w:r>
          </w:p>
        </w:tc>
      </w:tr>
      <w:tr>
        <w:trPr>
          <w:cantSplit/>
        </w:trPr>
        <w:tc>
          <w:tcPr>
            <w:tcW w:type="dxa" w:w="2665"/>
            <w:tcMar>
              <w:top w:w="70" w:type="dxa"/>
              <w:left w:w="80" w:type="dxa"/>
              <w:bottom w:w="70" w:type="dxa"/>
              <w:right w:w="80" w:type="dxa"/>
            </w:tcMar>
          </w:tcPr>
          <w:p>
            <w:pPr>
              <w:spacing w:after="0"/>
              <w:jc w:val="left"/>
            </w:pPr>
            <w:r>
              <w:rPr>
                <w:rFonts w:ascii="Cambria" w:hAnsi="Cambria" w:eastAsia="Cambria"/>
                <w:b w:val="0"/>
                <w:i w:val="0"/>
                <w:color w:val="000000"/>
                <w:sz w:val="16"/>
              </w:rPr>
              <w:t>Corrective action / verification</w:t>
            </w:r>
          </w:p>
        </w:tc>
        <w:tc>
          <w:tcPr>
            <w:tcW w:type="dxa" w:w="6690"/>
            <w:tcMar>
              <w:top w:w="70" w:type="dxa"/>
              <w:left w:w="80" w:type="dxa"/>
              <w:bottom w:w="70" w:type="dxa"/>
              <w:right w:w="80" w:type="dxa"/>
            </w:tcMar>
          </w:tcPr>
          <w:p>
            <w:pPr>
              <w:spacing w:after="0"/>
              <w:jc w:val="left"/>
            </w:pPr>
            <w:r>
              <w:rPr>
                <w:rFonts w:ascii="Cambria" w:hAnsi="Cambria" w:eastAsia="Cambria"/>
                <w:b w:val="0"/>
                <w:i w:val="0"/>
                <w:color w:val="000000"/>
                <w:sz w:val="16"/>
              </w:rPr>
              <w:t>Action, owner, due date, evidence, effectiveness and closure.</w:t>
            </w:r>
          </w:p>
        </w:tc>
      </w:tr>
    </w:tbl>
    <w:p>
      <w:pPr>
        <w:spacing w:after="0"/>
      </w:pPr>
    </w:p>
    <w:p>
      <w:pPr>
        <w:keepNext/>
        <w:spacing w:before="120" w:after="50"/>
      </w:pPr>
      <w:r>
        <w:rPr>
          <w:rFonts w:ascii="Cambria" w:hAnsi="Cambria" w:eastAsia="Cambria"/>
          <w:b/>
          <w:i w:val="0"/>
          <w:color w:val="1F4E79"/>
          <w:sz w:val="24"/>
        </w:rPr>
        <w:t>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Role</w:t>
            </w:r>
          </w:p>
        </w:tc>
        <w:tc>
          <w:tcPr>
            <w:tcW w:type="dxa" w:w="311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Name / Position</w:t>
            </w:r>
          </w:p>
        </w:tc>
        <w:tc>
          <w:tcPr>
            <w:tcW w:type="dxa" w:w="226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Approval / Signature</w:t>
            </w:r>
          </w:p>
        </w:tc>
        <w:tc>
          <w:tcPr>
            <w:tcW w:type="dxa" w:w="15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Date</w:t>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Prepared / Maintained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OH&amp;S Manager / OH&amp;SMS Manager</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Reviewed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[REVIEWER / FUNCTION]</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Approved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Top Management</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bl>
    <w:p>
      <w:pPr>
        <w:spacing w:after="0"/>
      </w:pPr>
    </w:p>
    <w:p>
      <w:pPr>
        <w:keepNext/>
        <w:spacing w:before="60" w:after="5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7"/>
              </w:rPr>
              <w:t>1.0</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7"/>
              </w:rPr>
              <w:t>2026-09-18</w:t>
            </w:r>
          </w:p>
        </w:tc>
        <w:tc>
          <w:tcPr>
            <w:tcW w:type="dxa" w:w="5613"/>
            <w:tcMar>
              <w:top w:w="70" w:type="dxa"/>
              <w:left w:w="80" w:type="dxa"/>
              <w:bottom w:w="70" w:type="dxa"/>
              <w:right w:w="80" w:type="dxa"/>
            </w:tcMar>
          </w:tcPr>
          <w:p>
            <w:pPr>
              <w:spacing w:after="0"/>
              <w:jc w:val="left"/>
            </w:pPr>
            <w:r>
              <w:rPr>
                <w:rFonts w:ascii="Cambria" w:hAnsi="Cambria" w:eastAsia="Cambria"/>
                <w:b w:val="0"/>
                <w:i w:val="0"/>
                <w:color w:val="000000"/>
                <w:sz w:val="17"/>
              </w:rPr>
              <w:t>Initial issue</w:t>
            </w:r>
          </w:p>
        </w:tc>
      </w:tr>
    </w:tbl>
    <w:p>
      <w:pPr>
        <w:spacing w:after="0"/>
      </w:pPr>
    </w:p>
    <w:sectPr w:rsidR="00FC693F" w:rsidRPr="0006063C" w:rsidSect="00034616">
      <w:headerReference w:type="default" r:id="rId9"/>
      <w:footerReference w:type="default" r:id="rId10"/>
      <w:pgSz w:w="11906" w:h="16838"/>
      <w:pgMar w:top="1134" w:right="1134" w:bottom="1134"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before="0"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8"/>
            </w:rPr>
            <w:t>Internal Health &amp; Safety Audit Procedure</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4"/>
            </w:rPr>
            <w:t>OHSMS-PRO-014</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Health &amp; Safety Audit Procedure</dc:title>
  <dc:subject>Procedure for planning, conducting, reporting and following up internal OH&amp;SMS audits.</dc:subject>
  <dc:creator>ISO Toolkits</dc:creator>
  <cp:keywords>ISO 45001:2018, Amendment 1:2024, OH&amp;S, OHSMS</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