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140" w:after="40"/>
        <w:jc w:val="center"/>
      </w:pPr>
      <w:r>
        <w:rPr>
          <w:rFonts w:ascii="Cambria" w:hAnsi="Cambria" w:eastAsia="Cambria"/>
          <w:b/>
          <w:i w:val="0"/>
          <w:color w:val="1F4E79"/>
          <w:sz w:val="36"/>
        </w:rPr>
        <w:t>HEALTH &amp; SAFETY MANAGEMENT REVIEW PROCEDURE</w:t>
      </w:r>
    </w:p>
    <w:p>
      <w:pPr>
        <w:spacing w:after="100"/>
        <w:jc w:val="center"/>
      </w:pPr>
      <w:r>
        <w:rPr>
          <w:rFonts w:ascii="Cambria" w:hAnsi="Cambria" w:eastAsia="Cambria"/>
          <w:b/>
          <w:i w:val="0"/>
          <w:color w:val="000000"/>
          <w:sz w:val="18"/>
        </w:rPr>
        <w:t>ISO 45001:2018 + Amendment 1:2024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</w:trPr>
        <w:tc>
          <w:tcPr>
            <w:tcW w:type="dxa" w:w="192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Document Owner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OH&amp;S Manager / OH&amp;SMS Manager</w:t>
            </w:r>
          </w:p>
        </w:tc>
        <w:tc>
          <w:tcPr>
            <w:tcW w:type="dxa" w:w="181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Approver</w:t>
            </w:r>
          </w:p>
        </w:tc>
        <w:tc>
          <w:tcPr>
            <w:tcW w:type="dxa" w:w="260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Top Management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Classification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INTERNAL</w:t>
            </w:r>
          </w:p>
        </w:tc>
        <w:tc>
          <w:tcPr>
            <w:tcW w:type="dxa" w:w="181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Next Review</w:t>
            </w:r>
          </w:p>
        </w:tc>
        <w:tc>
          <w:tcPr>
            <w:tcW w:type="dxa" w:w="260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2027-09-18</w:t>
            </w:r>
          </w:p>
        </w:tc>
      </w:tr>
    </w:tbl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1. Purpose</w:t>
      </w:r>
    </w:p>
    <w:p>
      <w:pPr>
        <w:spacing w:after="50" w:line="245" w:lineRule="auto"/>
      </w:pPr>
      <w:r>
        <w:rPr>
          <w:rFonts w:ascii="Cambria" w:hAnsi="Cambria" w:eastAsia="Cambria"/>
          <w:b w:val="0"/>
          <w:i w:val="0"/>
          <w:color w:val="000000"/>
          <w:sz w:val="19"/>
        </w:rPr>
        <w:t>Define a consistent process for top management to review the OH&amp;SMS at planned intervals and make evidence-based decisions on suitability, adequacy, effectiveness, OH&amp;S performance, resources and improvement.</w:t>
      </w: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2. Scope</w:t>
      </w:r>
    </w:p>
    <w:p>
      <w:pPr>
        <w:spacing w:after="50" w:line="245" w:lineRule="auto"/>
      </w:pPr>
      <w:r>
        <w:rPr>
          <w:rFonts w:ascii="Cambria" w:hAnsi="Cambria" w:eastAsia="Cambria"/>
          <w:b w:val="0"/>
          <w:i w:val="0"/>
          <w:color w:val="000000"/>
          <w:sz w:val="19"/>
        </w:rPr>
        <w:t>Applies to formal OH&amp;SMS management reviews covering the approved OH&amp;SMS scope. Reviews may be conducted as a dedicated meeting or through an integrated management forum, provided required inputs, conclusions, decisions and actions are clearly evidenced.</w:t>
      </w: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3. Responsibilities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289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Role</w:t>
            </w:r>
          </w:p>
        </w:tc>
        <w:tc>
          <w:tcPr>
            <w:tcW w:type="dxa" w:w="6463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Responsibilities</w:t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Top Management / Chair</w:t>
            </w:r>
          </w:p>
        </w:tc>
        <w:tc>
          <w:tcPr>
            <w:tcW w:type="dxa" w:w="646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Lead the review, challenge performance and risk information, make decisions and approve resources/actions.</w:t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OH&amp;S Manager / Review Coordinator</w:t>
            </w:r>
          </w:p>
        </w:tc>
        <w:tc>
          <w:tcPr>
            <w:tcW w:type="dxa" w:w="646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Plan the review, collect inputs, prepare the agenda, record conclusions/actions and track follow-up.</w:t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Process / Area Owners</w:t>
            </w:r>
          </w:p>
        </w:tc>
        <w:tc>
          <w:tcPr>
            <w:tcW w:type="dxa" w:w="646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Provide accurate performance, risk, incident, compliance and action information; explain causes and proposed responses.</w:t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Worker Representatives / Workers</w:t>
            </w:r>
          </w:p>
        </w:tc>
        <w:tc>
          <w:tcPr>
            <w:tcW w:type="dxa" w:w="646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Provide relevant consultation/participation input, concerns, improvement opportunities and feedback on control effectiveness.</w:t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Action Owners</w:t>
            </w:r>
          </w:p>
        </w:tc>
        <w:tc>
          <w:tcPr>
            <w:tcW w:type="dxa" w:w="646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Implement assigned decisions and provide objective evidence of completion/effectiveness.</w:t>
            </w:r>
          </w:p>
        </w:tc>
      </w:tr>
    </w:tbl>
    <w:p>
      <w:pPr>
        <w:spacing w:after="0"/>
      </w:pP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4. Procedure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  <w:tblHeader w:val="true"/>
        </w:trPr>
        <w:tc>
          <w:tcPr>
            <w:tcW w:type="dxa" w:w="130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4"/>
              </w:rPr>
              <w:t>Step</w:t>
            </w:r>
          </w:p>
        </w:tc>
        <w:tc>
          <w:tcPr>
            <w:tcW w:type="dxa" w:w="221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4"/>
              </w:rPr>
              <w:t>Responsible</w:t>
            </w:r>
          </w:p>
        </w:tc>
        <w:tc>
          <w:tcPr>
            <w:tcW w:type="dxa" w:w="4309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4"/>
              </w:rPr>
              <w:t>Activity</w:t>
            </w:r>
          </w:p>
        </w:tc>
        <w:tc>
          <w:tcPr>
            <w:tcW w:type="dxa" w:w="153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4"/>
              </w:rPr>
              <w:t>Output / Record</w:t>
            </w:r>
          </w:p>
        </w:tc>
      </w:tr>
      <w:tr>
        <w:trPr>
          <w:cantSplit/>
        </w:trPr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1. Schedule review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OH&amp;S Manager / Chair</w:t>
            </w:r>
          </w:p>
        </w:tc>
        <w:tc>
          <w:tcPr>
            <w:tcW w:type="dxa" w:w="430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Set the review frequency and date based on organizational need. Additional reviews may be triggered by major incidents, legal change, significant business/change activity or material deterioration in OH&amp;S performance.</w:t>
            </w:r>
          </w:p>
        </w:tc>
        <w:tc>
          <w:tcPr>
            <w:tcW w:type="dxa" w:w="153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Review schedule</w:t>
            </w:r>
          </w:p>
        </w:tc>
      </w:tr>
      <w:tr>
        <w:trPr>
          <w:cantSplit/>
        </w:trPr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2. Confirm scope / participants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Coordinator / Chair</w:t>
            </w:r>
          </w:p>
        </w:tc>
        <w:tc>
          <w:tcPr>
            <w:tcW w:type="dxa" w:w="430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Confirm the OH&amp;SMS scope, participating management, relevant process owners and worker representation.</w:t>
            </w:r>
          </w:p>
        </w:tc>
        <w:tc>
          <w:tcPr>
            <w:tcW w:type="dxa" w:w="153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Agenda / attendee list</w:t>
            </w:r>
          </w:p>
        </w:tc>
      </w:tr>
      <w:tr>
        <w:trPr>
          <w:cantSplit/>
        </w:trPr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3. Gather inputs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Coordinator / Process Owners</w:t>
            </w:r>
          </w:p>
        </w:tc>
        <w:tc>
          <w:tcPr>
            <w:tcW w:type="dxa" w:w="430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Compile current, decision-ready information covering previous actions, context and interested-party changes, legal/other requirements, OH&amp;S risks/opportunities, objectives, incidents, monitoring, compliance evaluation, audits, worker consultation/participation, communications, resources and improvement opportunities.</w:t>
            </w:r>
          </w:p>
        </w:tc>
        <w:tc>
          <w:tcPr>
            <w:tcW w:type="dxa" w:w="153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Management review input pack</w:t>
            </w:r>
          </w:p>
        </w:tc>
      </w:tr>
      <w:tr>
        <w:trPr>
          <w:cantSplit/>
        </w:trPr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4. Validate information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Coordinator / Owners</w:t>
            </w:r>
          </w:p>
        </w:tc>
        <w:tc>
          <w:tcPr>
            <w:tcW w:type="dxa" w:w="430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Check dates, trends, denominators, unresolved issues, legal status and action ownership. Highlight data limitations or missing evidence.</w:t>
            </w:r>
          </w:p>
        </w:tc>
        <w:tc>
          <w:tcPr>
            <w:tcW w:type="dxa" w:w="153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Validated input pack</w:t>
            </w:r>
          </w:p>
        </w:tc>
      </w:tr>
      <w:tr>
        <w:trPr>
          <w:cantSplit/>
        </w:trPr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5. Pre-consult workers where useful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OH&amp;S Manager / Worker Representatives</w:t>
            </w:r>
          </w:p>
        </w:tc>
        <w:tc>
          <w:tcPr>
            <w:tcW w:type="dxa" w:w="430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Gather worker concerns, control feedback and improvement proposals before the review where they are not already captured in routine participation mechanisms.</w:t>
            </w:r>
          </w:p>
        </w:tc>
        <w:tc>
          <w:tcPr>
            <w:tcW w:type="dxa" w:w="153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Consultation / participation input</w:t>
            </w:r>
          </w:p>
        </w:tc>
      </w:tr>
      <w:tr>
        <w:trPr>
          <w:cantSplit/>
        </w:trPr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6. Conduct review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Top Management / Chair</w:t>
            </w:r>
          </w:p>
        </w:tc>
        <w:tc>
          <w:tcPr>
            <w:tcW w:type="dxa" w:w="430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Review material changes, performance, risks, compliance, incidents, audits, participation and resources. Focus discussion on causes, exposure, effectiveness and decisions rather than presentation volume.</w:t>
            </w:r>
          </w:p>
        </w:tc>
        <w:tc>
          <w:tcPr>
            <w:tcW w:type="dxa" w:w="153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Review discussion / conclusions</w:t>
            </w:r>
          </w:p>
        </w:tc>
      </w:tr>
      <w:tr>
        <w:trPr>
          <w:cantSplit/>
        </w:trPr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7. Make explicit conclusions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Top Management</w:t>
            </w:r>
          </w:p>
        </w:tc>
        <w:tc>
          <w:tcPr>
            <w:tcW w:type="dxa" w:w="430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Conclude on OH&amp;SMS continuing suitability, adequacy and effectiveness and identify material changes, weaknesses or opportunities.</w:t>
            </w:r>
          </w:p>
        </w:tc>
        <w:tc>
          <w:tcPr>
            <w:tcW w:type="dxa" w:w="153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Management conclusions</w:t>
            </w:r>
          </w:p>
        </w:tc>
      </w:tr>
      <w:tr>
        <w:trPr>
          <w:cantSplit/>
        </w:trPr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8. Decide actions / resources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Top Management</w:t>
            </w:r>
          </w:p>
        </w:tc>
        <w:tc>
          <w:tcPr>
            <w:tcW w:type="dxa" w:w="430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Approve improvement priorities, OH&amp;SMS changes, resource needs, objective/control changes, legal/compliance actions and other decisions. Assign owners and dates.</w:t>
            </w:r>
          </w:p>
        </w:tc>
        <w:tc>
          <w:tcPr>
            <w:tcW w:type="dxa" w:w="153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Decision / action log</w:t>
            </w:r>
          </w:p>
        </w:tc>
      </w:tr>
      <w:tr>
        <w:trPr>
          <w:cantSplit/>
        </w:trPr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9. Communicate outcomes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OH&amp;S Manager / Managers</w:t>
            </w:r>
          </w:p>
        </w:tc>
        <w:tc>
          <w:tcPr>
            <w:tcW w:type="dxa" w:w="430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Communicate relevant results and decisions to workers and other interested parties as appropriate, protecting confidential information.</w:t>
            </w:r>
          </w:p>
        </w:tc>
        <w:tc>
          <w:tcPr>
            <w:tcW w:type="dxa" w:w="153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Communication evidence</w:t>
            </w:r>
          </w:p>
        </w:tc>
      </w:tr>
      <w:tr>
        <w:trPr>
          <w:cantSplit/>
        </w:trPr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10. Track and verify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OH&amp;S Manager / Action Owners</w:t>
            </w:r>
          </w:p>
        </w:tc>
        <w:tc>
          <w:tcPr>
            <w:tcW w:type="dxa" w:w="430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Track actions to completion and verify effectiveness where the action addresses material OH&amp;S risk or system weakness. Escalate overdue or ineffective actions.</w:t>
            </w:r>
          </w:p>
        </w:tc>
        <w:tc>
          <w:tcPr>
            <w:tcW w:type="dxa" w:w="153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Action tracker / effectiveness evidence</w:t>
            </w:r>
          </w:p>
        </w:tc>
      </w:tr>
    </w:tbl>
    <w:p>
      <w:pPr>
        <w:spacing w:after="0"/>
      </w:pP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5. Minimum Review Inputs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277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Input</w:t>
            </w:r>
          </w:p>
        </w:tc>
        <w:tc>
          <w:tcPr>
            <w:tcW w:type="dxa" w:w="6576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Decision-Oriented Focus</w:t>
            </w:r>
          </w:p>
        </w:tc>
      </w:tr>
      <w:tr>
        <w:trPr>
          <w:cantSplit/>
        </w:trPr>
        <w:tc>
          <w:tcPr>
            <w:tcW w:type="dxa" w:w="277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Previous review actions</w:t>
            </w:r>
          </w:p>
        </w:tc>
        <w:tc>
          <w:tcPr>
            <w:tcW w:type="dxa" w:w="6576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Closed, overdue, ineffective or no longer relevant.</w:t>
            </w:r>
          </w:p>
        </w:tc>
      </w:tr>
      <w:tr>
        <w:trPr>
          <w:cantSplit/>
        </w:trPr>
        <w:tc>
          <w:tcPr>
            <w:tcW w:type="dxa" w:w="277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Context / interested parties</w:t>
            </w:r>
          </w:p>
        </w:tc>
        <w:tc>
          <w:tcPr>
            <w:tcW w:type="dxa" w:w="6576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Business, workforce, operational, legal, environmental and climate-related changes relevant to OH&amp;S.</w:t>
            </w:r>
          </w:p>
        </w:tc>
      </w:tr>
      <w:tr>
        <w:trPr>
          <w:cantSplit/>
        </w:trPr>
        <w:tc>
          <w:tcPr>
            <w:tcW w:type="dxa" w:w="277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OH&amp;S policy / objectives</w:t>
            </w:r>
          </w:p>
        </w:tc>
        <w:tc>
          <w:tcPr>
            <w:tcW w:type="dxa" w:w="6576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Objective progress, barriers, trend and need for revised priorities.</w:t>
            </w:r>
          </w:p>
        </w:tc>
      </w:tr>
      <w:tr>
        <w:trPr>
          <w:cantSplit/>
        </w:trPr>
        <w:tc>
          <w:tcPr>
            <w:tcW w:type="dxa" w:w="277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Hazards, risks and opportunities</w:t>
            </w:r>
          </w:p>
        </w:tc>
        <w:tc>
          <w:tcPr>
            <w:tcW w:type="dxa" w:w="6576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Material changes in exposure, risk profile, controls and opportunities.</w:t>
            </w:r>
          </w:p>
        </w:tc>
      </w:tr>
      <w:tr>
        <w:trPr>
          <w:cantSplit/>
        </w:trPr>
        <w:tc>
          <w:tcPr>
            <w:tcW w:type="dxa" w:w="277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Legal and other requirements</w:t>
            </w:r>
          </w:p>
        </w:tc>
        <w:tc>
          <w:tcPr>
            <w:tcW w:type="dxa" w:w="6576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Changes, compliance status, overdue obligations and significant gaps.</w:t>
            </w:r>
          </w:p>
        </w:tc>
      </w:tr>
      <w:tr>
        <w:trPr>
          <w:cantSplit/>
        </w:trPr>
        <w:tc>
          <w:tcPr>
            <w:tcW w:type="dxa" w:w="277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OH&amp;S performance</w:t>
            </w:r>
          </w:p>
        </w:tc>
        <w:tc>
          <w:tcPr>
            <w:tcW w:type="dxa" w:w="6576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Incidents, near misses, ill-health trends, inspections, monitoring, leading/lagging indicators and recurring issues.</w:t>
            </w:r>
          </w:p>
        </w:tc>
      </w:tr>
      <w:tr>
        <w:trPr>
          <w:cantSplit/>
        </w:trPr>
        <w:tc>
          <w:tcPr>
            <w:tcW w:type="dxa" w:w="277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Worker consultation / participation</w:t>
            </w:r>
          </w:p>
        </w:tc>
        <w:tc>
          <w:tcPr>
            <w:tcW w:type="dxa" w:w="6576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Concerns, feedback, participation effectiveness, barriers and improvement proposals.</w:t>
            </w:r>
          </w:p>
        </w:tc>
      </w:tr>
      <w:tr>
        <w:trPr>
          <w:cantSplit/>
        </w:trPr>
        <w:tc>
          <w:tcPr>
            <w:tcW w:type="dxa" w:w="277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Internal / external audit</w:t>
            </w:r>
          </w:p>
        </w:tc>
        <w:tc>
          <w:tcPr>
            <w:tcW w:type="dxa" w:w="6576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Significant findings, recurrence, overdue actions and system-level lessons.</w:t>
            </w:r>
          </w:p>
        </w:tc>
      </w:tr>
      <w:tr>
        <w:trPr>
          <w:cantSplit/>
        </w:trPr>
        <w:tc>
          <w:tcPr>
            <w:tcW w:type="dxa" w:w="277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Resources / competence</w:t>
            </w:r>
          </w:p>
        </w:tc>
        <w:tc>
          <w:tcPr>
            <w:tcW w:type="dxa" w:w="6576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People, training, equipment, specialist support, budget or infrastructure constraints.</w:t>
            </w:r>
          </w:p>
        </w:tc>
      </w:tr>
      <w:tr>
        <w:trPr>
          <w:cantSplit/>
        </w:trPr>
        <w:tc>
          <w:tcPr>
            <w:tcW w:type="dxa" w:w="277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Operational changes / contractors</w:t>
            </w:r>
          </w:p>
        </w:tc>
        <w:tc>
          <w:tcPr>
            <w:tcW w:type="dxa" w:w="6576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Material change, procurement, contractor or outsourced-process risks and performance.</w:t>
            </w:r>
          </w:p>
        </w:tc>
      </w:tr>
      <w:tr>
        <w:trPr>
          <w:cantSplit/>
        </w:trPr>
        <w:tc>
          <w:tcPr>
            <w:tcW w:type="dxa" w:w="277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Emergency preparedness</w:t>
            </w:r>
          </w:p>
        </w:tc>
        <w:tc>
          <w:tcPr>
            <w:tcW w:type="dxa" w:w="6576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Drill/test performance, actual emergency lessons and readiness gaps.</w:t>
            </w:r>
          </w:p>
        </w:tc>
      </w:tr>
      <w:tr>
        <w:trPr>
          <w:cantSplit/>
        </w:trPr>
        <w:tc>
          <w:tcPr>
            <w:tcW w:type="dxa" w:w="277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Improvement opportunities</w:t>
            </w:r>
          </w:p>
        </w:tc>
        <w:tc>
          <w:tcPr>
            <w:tcW w:type="dxa" w:w="6576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Priority improvements, lessons learned and opportunities to reduce risk.</w:t>
            </w:r>
          </w:p>
        </w:tc>
      </w:tr>
    </w:tbl>
    <w:p>
      <w:pPr>
        <w:spacing w:after="0"/>
      </w:pP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6. Exceptions and Escalation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306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Situation</w:t>
            </w:r>
          </w:p>
        </w:tc>
        <w:tc>
          <w:tcPr>
            <w:tcW w:type="dxa" w:w="6293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Required Response</w:t>
            </w:r>
          </w:p>
        </w:tc>
      </w:tr>
      <w:tr>
        <w:trPr>
          <w:cantSplit/>
        </w:trPr>
        <w:tc>
          <w:tcPr>
            <w:tcW w:type="dxa" w:w="306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Immediate serious risk identified before/during review</w:t>
            </w:r>
          </w:p>
        </w:tc>
        <w:tc>
          <w:tcPr>
            <w:tcW w:type="dxa" w:w="629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Use the operational/emergency escalation route immediately; management review does not replace prompt risk control.</w:t>
            </w:r>
          </w:p>
        </w:tc>
      </w:tr>
      <w:tr>
        <w:trPr>
          <w:cantSplit/>
        </w:trPr>
        <w:tc>
          <w:tcPr>
            <w:tcW w:type="dxa" w:w="306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Potential legal noncompliance</w:t>
            </w:r>
          </w:p>
        </w:tc>
        <w:tc>
          <w:tcPr>
            <w:tcW w:type="dxa" w:w="629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Escalate to the responsible OH&amp;S/legal role and assign corrective action with appropriate urgency.</w:t>
            </w:r>
          </w:p>
        </w:tc>
      </w:tr>
      <w:tr>
        <w:trPr>
          <w:cantSplit/>
        </w:trPr>
        <w:tc>
          <w:tcPr>
            <w:tcW w:type="dxa" w:w="306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Critical data unavailable</w:t>
            </w:r>
          </w:p>
        </w:tc>
        <w:tc>
          <w:tcPr>
            <w:tcW w:type="dxa" w:w="629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Record the limitation, assign an owner/date and avoid unsupported conclusions.</w:t>
            </w:r>
          </w:p>
        </w:tc>
      </w:tr>
      <w:tr>
        <w:trPr>
          <w:cantSplit/>
        </w:trPr>
        <w:tc>
          <w:tcPr>
            <w:tcW w:type="dxa" w:w="306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Overdue high-priority management-review action</w:t>
            </w:r>
          </w:p>
        </w:tc>
        <w:tc>
          <w:tcPr>
            <w:tcW w:type="dxa" w:w="629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Escalate to the Chair / top management and record the decision.</w:t>
            </w:r>
          </w:p>
        </w:tc>
      </w:tr>
    </w:tbl>
    <w:p>
      <w:pPr>
        <w:spacing w:after="0"/>
      </w:pP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7. Records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Management review agenda and input pack.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Attendee / worker-participation record.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Management review minutes and explicit conclusions.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Decision and action tracker.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Communication and effectiveness evidence where applicable.</w:t>
      </w: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8. Related Documents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Health &amp; Safety Management Review Agenda &amp; Minutes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Health &amp; Safety Management Review Guidance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Occupational Health &amp; Safety Management Manual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OH&amp;S Objectives &amp; KPI Register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Hazard &amp; OH&amp;S Risk Register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Legal &amp; Other Requirements Register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Internal Health &amp; Safety Audit Report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Incident / Near Miss Report &amp; Investigation Form</w:t>
      </w: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Approval and Revision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  <w:tblHeader w:val="true"/>
        </w:trPr>
        <w:tc>
          <w:tcPr>
            <w:tcW w:type="dxa" w:w="238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Role</w:t>
            </w:r>
          </w:p>
        </w:tc>
        <w:tc>
          <w:tcPr>
            <w:tcW w:type="dxa" w:w="311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Name / Position</w:t>
            </w:r>
          </w:p>
        </w:tc>
        <w:tc>
          <w:tcPr>
            <w:tcW w:type="dxa" w:w="226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Approval / Signature</w:t>
            </w:r>
          </w:p>
        </w:tc>
        <w:tc>
          <w:tcPr>
            <w:tcW w:type="dxa" w:w="1587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Date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Prepared / Maintained by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OH&amp;S Manager / OH&amp;SMS Manager</w:t>
            </w:r>
          </w:p>
        </w:tc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Reviewed by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[REVIEWER / FUNCTION]</w:t>
            </w:r>
          </w:p>
        </w:tc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Approved by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Top Management</w:t>
            </w:r>
          </w:p>
        </w:tc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</w:tbl>
    <w:p>
      <w:pPr>
        <w:spacing w:after="0"/>
      </w:pPr>
    </w:p>
    <w:p>
      <w:pPr>
        <w:keepNext/>
        <w:spacing w:before="60" w:after="50"/>
      </w:pPr>
      <w:r>
        <w:rPr>
          <w:rFonts w:ascii="Cambria" w:hAnsi="Cambria" w:eastAsia="Cambria"/>
          <w:b/>
          <w:i w:val="0"/>
          <w:color w:val="000000"/>
          <w:sz w:val="21"/>
        </w:rPr>
        <w:t>Revision History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3118"/>
        <w:gridCol w:w="3118"/>
        <w:gridCol w:w="3118"/>
      </w:tblGrid>
      <w:tr>
        <w:trPr>
          <w:cantSplit/>
          <w:tblHeader w:val="true"/>
        </w:trPr>
        <w:tc>
          <w:tcPr>
            <w:tcW w:type="dxa" w:w="1587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Version</w:t>
            </w:r>
          </w:p>
        </w:tc>
        <w:tc>
          <w:tcPr>
            <w:tcW w:type="dxa" w:w="215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Date</w:t>
            </w:r>
          </w:p>
        </w:tc>
        <w:tc>
          <w:tcPr>
            <w:tcW w:type="dxa" w:w="5613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Description</w:t>
            </w:r>
          </w:p>
        </w:tc>
      </w:tr>
      <w:tr>
        <w:trPr>
          <w:cantSplit/>
        </w:trPr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1.0</w:t>
            </w:r>
          </w:p>
        </w:tc>
        <w:tc>
          <w:tcPr>
            <w:tcW w:type="dxa" w:w="2154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2026-09-18</w:t>
            </w:r>
          </w:p>
        </w:tc>
        <w:tc>
          <w:tcPr>
            <w:tcW w:type="dxa" w:w="561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Initial issue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397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>
  <w:p>
    <w:pPr>
      <w:pStyle w:val="Footer"/>
      <w:spacing w:after="0"/>
      <w:jc w:val="center"/>
    </w:pPr>
    <w:r>
      <w:rPr>
        <w:rFonts w:ascii="Cambria" w:hAnsi="Cambria" w:eastAsia="Cambria"/>
        <w:b w:val="0"/>
        <w:i w:val="0"/>
        <w:color w:val="666666"/>
        <w:sz w:val="16"/>
      </w:rPr>
      <w:t>Copyright © ISO Toolkits | www.iso-toolkits.org | info@iso-toolkits.org</w:t>
    </w:r>
  </w:p>
  <w:p>
    <w:pPr>
      <w:spacing w:before="0" w:after="0"/>
      <w:jc w:val="center"/>
    </w:pPr>
    <w:r>
      <w:rPr>
        <w:rFonts w:ascii="Cambria" w:hAnsi="Cambria" w:eastAsia="Cambria"/>
        <w:b w:val="0"/>
        <w:i w:val="0"/>
        <w:color w:val="666666"/>
        <w:sz w:val="16"/>
      </w:rPr>
      <w:t xml:space="preserve">CONTROLLED DOCUMENT | INTERNAL | Page </w:t>
    </w:r>
    <w:r>
      <w:fldChar w:fldCharType="begin"/>
    </w:r>
    <w:r>
      <w:instrText xml:space="preserve"> PAGE </w:instrText>
    </w:r>
    <w:r>
      <w:fldChar w:fldCharType="separate"/>
    </w:r>
    <w:r>
      <w:rPr>
        <w:rFonts w:ascii="Cambria" w:hAnsi="Cambria" w:eastAsia="Cambria"/>
        <w:b w:val="0"/>
        <w:i w:val="0"/>
        <w:color w:val="666666"/>
        <w:sz w:val="16"/>
      </w:rPr>
      <w:t>1</w:t>
    </w:r>
    <w:r>
      <w:fldChar w:fldCharType="end"/>
    </w:r>
    <w:r>
      <w:rPr>
        <w:rFonts w:ascii="Cambria" w:hAnsi="Cambria" w:eastAsia="Cambria"/>
        <w:b w:val="0"/>
        <w:i w:val="0"/>
        <w:color w:val="666666"/>
        <w:sz w:val="16"/>
      </w:rP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Cambria" w:hAnsi="Cambria" w:eastAsia="Cambria"/>
        <w:b w:val="0"/>
        <w:i w:val="0"/>
        <w:color w:val="666666"/>
        <w:sz w:val="16"/>
      </w:rPr>
      <w:t>1</w:t>
    </w:r>
    <w:r>
      <w:fldChar w:fldCharType="end"/>
    </w:r>
  </w:p>
</w:ftr>
</file>

<file path=word/header1.xml><?xml version="1.0" encoding="utf-8"?>
<w:hdr xmlns:w="http://schemas.openxmlformats.org/wordprocessingml/2006/main">
  <w:p>
    <w:pPr>
      <w:pStyle w:val="Header"/>
      <w:spacing w:after="0"/>
    </w:pPr>
  </w:p>
  <w:tbl>
    <w:tblPr>
      <w:tblW w:type="auto" w:w="0"/>
      <w:jc w:val="center"/>
      <w:tblBorders>
        <w:top w:val="single" w:sz="4" w:space="0" w:color="D0D7DE"/>
        <w:left w:val="single" w:sz="4" w:space="0" w:color="D0D7DE"/>
        <w:bottom w:val="single" w:sz="4" w:space="0" w:color="D0D7DE"/>
        <w:right w:val="single" w:sz="4" w:space="0" w:color="D0D7DE"/>
        <w:insideH w:val="single" w:sz="4" w:space="0" w:color="D0D7DE"/>
        <w:insideV w:val="single" w:sz="4" w:space="0" w:color="D0D7DE"/>
      </w:tblBorders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204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/>
              <w:b/>
              <w:i w:val="0"/>
              <w:color w:val="1F4E79"/>
              <w:sz w:val="16"/>
            </w:rPr>
            <w:t>ORGANIZATION</w:t>
            <w:br/>
            <w:t>LOGO</w:t>
          </w:r>
        </w:p>
      </w:tc>
      <w:tc>
        <w:tcPr>
          <w:tcW w:type="dxa" w:w="4932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/>
              <w:b/>
              <w:i w:val="0"/>
              <w:color w:val="1F4E79"/>
              <w:sz w:val="16"/>
            </w:rPr>
            <w:t>ORGANIZATION NAME</w:t>
            <w:br/>
          </w:r>
          <w:r>
            <w:rPr>
              <w:rFonts w:ascii="Cambria" w:hAnsi="Cambria" w:eastAsia="Cambria"/>
              <w:b/>
              <w:i w:val="0"/>
              <w:color w:val="000000"/>
              <w:sz w:val="18"/>
            </w:rPr>
            <w:t>Health &amp; Safety Management Review Procedure</w:t>
          </w:r>
        </w:p>
      </w:tc>
      <w:tc>
        <w:tcPr>
          <w:tcW w:type="dxa" w:w="238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000000"/>
              <w:sz w:val="14"/>
            </w:rPr>
            <w:t>OHSMS-PRO-015</w:t>
            <w:br/>
            <w:t>Version 1.0</w:t>
            <w:br/>
            <w:t>Effective 2026-09-18</w:t>
          </w:r>
        </w:p>
      </w:tc>
    </w:tr>
  </w:tbl>
</w:hdr>
</file>

<file path=word/numbering.xml><?xml version="1.0" encoding="utf-8"?>
<w:numbering xmlns:w="http://schemas.openxmlformats.org/wordprocessingml/2006/main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m="http://schemas.openxmlformats.org/officeDocument/2006/math" xmlns:v="urn:schemas-microsoft-com:vml" xmlns:w="http://schemas.openxmlformats.org/wordprocessingml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&amp; Safety Management Review Procedure</dc:title>
  <dc:subject>Procedure for planning, conducting, recording and following up OH&amp;SMS management reviews.</dc:subject>
  <dc:creator>ISO Toolkits</dc:creator>
  <cp:keywords>ISO 45001:2018, Amendment 1:2024, OH&amp;S, OHSMS</cp:keywords>
  <dc:description>Built using Word 2007-compatible OOXML rules.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