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140" w:after="40"/>
        <w:jc w:val="center"/>
      </w:pPr>
      <w:r>
        <w:rPr>
          <w:rFonts w:ascii="Cambria" w:hAnsi="Cambria" w:eastAsia="Cambria"/>
          <w:b/>
          <w:i w:val="0"/>
          <w:color w:val="1F4E79"/>
          <w:sz w:val="36"/>
        </w:rPr>
        <w:t>HEALTH &amp; SAFETY MANAGEMENT REVIEW GUIDANCE</w:t>
      </w:r>
    </w:p>
    <w:p>
      <w:pPr>
        <w:spacing w:after="100"/>
        <w:jc w:val="center"/>
      </w:pPr>
      <w:r>
        <w:rPr>
          <w:rFonts w:ascii="Cambria" w:hAnsi="Cambria" w:eastAsia="Cambria"/>
          <w:b/>
          <w:i w:val="0"/>
          <w:color w:val="000000"/>
          <w:sz w:val="18"/>
        </w:rPr>
        <w:t>ISO 45001:2018 + Amendment 1:2024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Document Owner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OH&amp;S Manager / OH&amp;SMS Manager</w:t>
            </w:r>
          </w:p>
        </w:tc>
        <w:tc>
          <w:tcPr>
            <w:tcW w:type="dxa" w:w="181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Approver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Top Management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Classification</w:t>
            </w:r>
          </w:p>
        </w:tc>
        <w:tc>
          <w:tcPr>
            <w:tcW w:type="dxa" w:w="272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INTERNAL</w:t>
            </w:r>
          </w:p>
        </w:tc>
        <w:tc>
          <w:tcPr>
            <w:tcW w:type="dxa" w:w="181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Next Review</w:t>
            </w:r>
          </w:p>
        </w:tc>
        <w:tc>
          <w:tcPr>
            <w:tcW w:type="dxa" w:w="260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2027-09-18</w:t>
            </w:r>
          </w:p>
        </w:tc>
      </w:tr>
    </w:tbl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1. Purpose and Use</w:t>
      </w:r>
    </w:p>
    <w:p>
      <w:pPr>
        <w:spacing w:after="50" w:line="245" w:lineRule="auto"/>
      </w:pPr>
      <w:r>
        <w:rPr>
          <w:rFonts w:ascii="Cambria" w:hAnsi="Cambria" w:eastAsia="Cambria"/>
          <w:b w:val="0"/>
          <w:i w:val="0"/>
          <w:color w:val="000000"/>
          <w:sz w:val="19"/>
        </w:rPr>
        <w:t>Use this guidance with the Management Review Procedure and Agenda &amp; Minutes form. The objective is to turn OH&amp;S evidence into management decisions, resources and accountable actions rather than producing a compliance presentation.</w:t>
      </w: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2. Prepare Decision-Ready Inputs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209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Input</w:t>
            </w:r>
          </w:p>
        </w:tc>
        <w:tc>
          <w:tcPr>
            <w:tcW w:type="dxa" w:w="379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Prepare This</w:t>
            </w:r>
          </w:p>
        </w:tc>
        <w:tc>
          <w:tcPr>
            <w:tcW w:type="dxa" w:w="345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Avoid This</w:t>
            </w:r>
          </w:p>
        </w:tc>
      </w:tr>
      <w:tr>
        <w:trPr>
          <w:cantSplit/>
        </w:trPr>
        <w:tc>
          <w:tcPr>
            <w:tcW w:type="dxa" w:w="209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Objectives / KPIs</w:t>
            </w:r>
          </w:p>
        </w:tc>
        <w:tc>
          <w:tcPr>
            <w:tcW w:type="dxa" w:w="379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Trend, target, cause of miss, exposure and proposed decision.</w:t>
            </w:r>
          </w:p>
        </w:tc>
        <w:tc>
          <w:tcPr>
            <w:tcW w:type="dxa" w:w="345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A long table of numbers without thresholds or action.</w:t>
            </w:r>
          </w:p>
        </w:tc>
      </w:tr>
      <w:tr>
        <w:trPr>
          <w:cantSplit/>
        </w:trPr>
        <w:tc>
          <w:tcPr>
            <w:tcW w:type="dxa" w:w="209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Incidents / near misses</w:t>
            </w:r>
          </w:p>
        </w:tc>
        <w:tc>
          <w:tcPr>
            <w:tcW w:type="dxa" w:w="379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Severity, recurrence, causal themes, affected work and corrective-action effectiveness.</w:t>
            </w:r>
          </w:p>
        </w:tc>
        <w:tc>
          <w:tcPr>
            <w:tcW w:type="dxa" w:w="345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Counting events without learning.</w:t>
            </w:r>
          </w:p>
        </w:tc>
      </w:tr>
      <w:tr>
        <w:trPr>
          <w:cantSplit/>
        </w:trPr>
        <w:tc>
          <w:tcPr>
            <w:tcW w:type="dxa" w:w="209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Hazards / risks</w:t>
            </w:r>
          </w:p>
        </w:tc>
        <w:tc>
          <w:tcPr>
            <w:tcW w:type="dxa" w:w="379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Top material risks, significant changes, weak controls and overdue risk-reduction actions.</w:t>
            </w:r>
          </w:p>
        </w:tc>
        <w:tc>
          <w:tcPr>
            <w:tcW w:type="dxa" w:w="345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Presenting the full risk register line by line.</w:t>
            </w:r>
          </w:p>
        </w:tc>
      </w:tr>
      <w:tr>
        <w:trPr>
          <w:cantSplit/>
        </w:trPr>
        <w:tc>
          <w:tcPr>
            <w:tcW w:type="dxa" w:w="209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Compliance</w:t>
            </w:r>
          </w:p>
        </w:tc>
        <w:tc>
          <w:tcPr>
            <w:tcW w:type="dxa" w:w="379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Changed obligations, evaluation results, material gaps and required decisions.</w:t>
            </w:r>
          </w:p>
        </w:tc>
        <w:tc>
          <w:tcPr>
            <w:tcW w:type="dxa" w:w="345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Stating 'compliant' without evidence.</w:t>
            </w:r>
          </w:p>
        </w:tc>
      </w:tr>
      <w:tr>
        <w:trPr>
          <w:cantSplit/>
        </w:trPr>
        <w:tc>
          <w:tcPr>
            <w:tcW w:type="dxa" w:w="209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Audits</w:t>
            </w:r>
          </w:p>
        </w:tc>
        <w:tc>
          <w:tcPr>
            <w:tcW w:type="dxa" w:w="379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Systemic themes, significant findings, recurrence and overdue actions.</w:t>
            </w:r>
          </w:p>
        </w:tc>
        <w:tc>
          <w:tcPr>
            <w:tcW w:type="dxa" w:w="345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Reading every audit finding.</w:t>
            </w:r>
          </w:p>
        </w:tc>
      </w:tr>
      <w:tr>
        <w:trPr>
          <w:cantSplit/>
        </w:trPr>
        <w:tc>
          <w:tcPr>
            <w:tcW w:type="dxa" w:w="209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Worker input</w:t>
            </w:r>
          </w:p>
        </w:tc>
        <w:tc>
          <w:tcPr>
            <w:tcW w:type="dxa" w:w="379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Common concerns, participation barriers, suggestions and unresolved issues.</w:t>
            </w:r>
          </w:p>
        </w:tc>
        <w:tc>
          <w:tcPr>
            <w:tcW w:type="dxa" w:w="345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Using attendance numbers as proof of participation.</w:t>
            </w:r>
          </w:p>
        </w:tc>
      </w:tr>
      <w:tr>
        <w:trPr>
          <w:cantSplit/>
        </w:trPr>
        <w:tc>
          <w:tcPr>
            <w:tcW w:type="dxa" w:w="209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Resources</w:t>
            </w:r>
          </w:p>
        </w:tc>
        <w:tc>
          <w:tcPr>
            <w:tcW w:type="dxa" w:w="379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Specific constraint, OH&amp;S impact and decision/resource request.</w:t>
            </w:r>
          </w:p>
        </w:tc>
        <w:tc>
          <w:tcPr>
            <w:tcW w:type="dxa" w:w="345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Generic statement that more resources are needed.</w:t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3. Before the Review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Confirm the review period, OH&amp;SMS scope and participants early enough to collect reliable data.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Invite worker representation appropriate to the organization and review topics.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Close obvious data-quality issues before the meeting; flag anything that remains uncertain.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Bring the most recent legal/compliance, incident, audit, risk and objective information.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Pre-identify matters requiring top-management decisions rather than routine operational follow-up.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Where climate change or climate-related interested-party requirements are relevant to OH&amp;S context, include material changes in the input.</w:t>
      </w: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4. Worker Consultation and Participation</w:t>
      </w:r>
    </w:p>
    <w:p>
      <w:pPr>
        <w:spacing w:after="50" w:line="245" w:lineRule="auto"/>
      </w:pPr>
      <w:r>
        <w:rPr>
          <w:rFonts w:ascii="Cambria" w:hAnsi="Cambria" w:eastAsia="Cambria"/>
          <w:b w:val="0"/>
          <w:i w:val="0"/>
          <w:color w:val="000000"/>
          <w:sz w:val="19"/>
        </w:rPr>
        <w:t>Management review should use existing worker consultation/participation mechanisms rather than treating worker input as a ceremonial agenda item. Capture concerns, control feedback, barriers to reporting/participation and improvement proposals before or during the review.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3572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Weak Signal</w:t>
            </w:r>
          </w:p>
        </w:tc>
        <w:tc>
          <w:tcPr>
            <w:tcW w:type="dxa" w:w="578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Stronger Evidence</w:t>
            </w:r>
          </w:p>
        </w:tc>
      </w:tr>
      <w:tr>
        <w:trPr>
          <w:cantSplit/>
        </w:trPr>
        <w:tc>
          <w:tcPr>
            <w:tcW w:type="dxa" w:w="357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Workers were informed after decisions.</w:t>
            </w:r>
          </w:p>
        </w:tc>
        <w:tc>
          <w:tcPr>
            <w:tcW w:type="dxa" w:w="578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Workers or representatives contributed relevant concerns and proposals before decisions affecting their work.</w:t>
            </w:r>
          </w:p>
        </w:tc>
      </w:tr>
      <w:tr>
        <w:trPr>
          <w:cantSplit/>
        </w:trPr>
        <w:tc>
          <w:tcPr>
            <w:tcW w:type="dxa" w:w="357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Only managers speak about worker concerns.</w:t>
            </w:r>
          </w:p>
        </w:tc>
        <w:tc>
          <w:tcPr>
            <w:tcW w:type="dxa" w:w="578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Worker feedback is traceable to consultation records, interviews, committees, hazard reporting or participation activities.</w:t>
            </w:r>
          </w:p>
        </w:tc>
      </w:tr>
      <w:tr>
        <w:trPr>
          <w:cantSplit/>
        </w:trPr>
        <w:tc>
          <w:tcPr>
            <w:tcW w:type="dxa" w:w="3572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No feedback is received.</w:t>
            </w:r>
          </w:p>
        </w:tc>
        <w:tc>
          <w:tcPr>
            <w:tcW w:type="dxa" w:w="578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Management asks whether participation barriers, fear of reprisal, access, language or timing are limiting input.</w:t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5. Facilitate for Decisions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Start with overdue previous review actions and any immediate serious-risk/compliance issues.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Discuss material trends and exceptions before routine good-news metrics.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Ask what changed, why it matters, whether controls remain effective and what decision is needed.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Separate information items from decisions and assigned actions.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When management accepts residual exposure or defers action, record the rationale and authority.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Do not allow the meeting to become a substitute for immediate operational control of serious risks.</w:t>
      </w: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6. Questions That Improve the Review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26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Topic</w:t>
            </w:r>
          </w:p>
        </w:tc>
        <w:tc>
          <w:tcPr>
            <w:tcW w:type="dxa" w:w="708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Useful Management Question</w:t>
            </w:r>
          </w:p>
        </w:tc>
      </w:tr>
      <w:tr>
        <w:trPr>
          <w:cantSplit/>
        </w:trPr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Risk</w:t>
            </w:r>
          </w:p>
        </w:tc>
        <w:tc>
          <w:tcPr>
            <w:tcW w:type="dxa" w:w="70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Which OH&amp;S risks changed most since the last review, and why?</w:t>
            </w:r>
          </w:p>
        </w:tc>
      </w:tr>
      <w:tr>
        <w:trPr>
          <w:cantSplit/>
        </w:trPr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Controls</w:t>
            </w:r>
          </w:p>
        </w:tc>
        <w:tc>
          <w:tcPr>
            <w:tcW w:type="dxa" w:w="70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Which controls rely heavily on behavior/PPE, and can higher-order controls reduce exposure?</w:t>
            </w:r>
          </w:p>
        </w:tc>
      </w:tr>
      <w:tr>
        <w:trPr>
          <w:cantSplit/>
        </w:trPr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Incidents</w:t>
            </w:r>
          </w:p>
        </w:tc>
        <w:tc>
          <w:tcPr>
            <w:tcW w:type="dxa" w:w="70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What recurring causal themes remain after corrective actions?</w:t>
            </w:r>
          </w:p>
        </w:tc>
      </w:tr>
      <w:tr>
        <w:trPr>
          <w:cantSplit/>
        </w:trPr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Workers</w:t>
            </w:r>
          </w:p>
        </w:tc>
        <w:tc>
          <w:tcPr>
            <w:tcW w:type="dxa" w:w="70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What are workers telling us that our dashboards do not show?</w:t>
            </w:r>
          </w:p>
        </w:tc>
      </w:tr>
      <w:tr>
        <w:trPr>
          <w:cantSplit/>
        </w:trPr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Compliance</w:t>
            </w:r>
          </w:p>
        </w:tc>
        <w:tc>
          <w:tcPr>
            <w:tcW w:type="dxa" w:w="70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Which obligation is closest to noncompliance or needs a management decision?</w:t>
            </w:r>
          </w:p>
        </w:tc>
      </w:tr>
      <w:tr>
        <w:trPr>
          <w:cantSplit/>
        </w:trPr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Change</w:t>
            </w:r>
          </w:p>
        </w:tc>
        <w:tc>
          <w:tcPr>
            <w:tcW w:type="dxa" w:w="70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What planned change could create the next serious exposure if not controlled early?</w:t>
            </w:r>
          </w:p>
        </w:tc>
      </w:tr>
      <w:tr>
        <w:trPr>
          <w:cantSplit/>
        </w:trPr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Resources</w:t>
            </w:r>
          </w:p>
        </w:tc>
        <w:tc>
          <w:tcPr>
            <w:tcW w:type="dxa" w:w="70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Which constraint materially limits risk reduction or compliance?</w:t>
            </w:r>
          </w:p>
        </w:tc>
      </w:tr>
      <w:tr>
        <w:trPr>
          <w:cantSplit/>
        </w:trPr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Improvement</w:t>
            </w:r>
          </w:p>
        </w:tc>
        <w:tc>
          <w:tcPr>
            <w:tcW w:type="dxa" w:w="70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Which one or two changes would create the greatest reduction in OH&amp;S risk?</w:t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7. Quality of Outputs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43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Output</w:t>
            </w:r>
          </w:p>
        </w:tc>
        <w:tc>
          <w:tcPr>
            <w:tcW w:type="dxa" w:w="691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Good Practice</w:t>
            </w:r>
          </w:p>
        </w:tc>
      </w:tr>
      <w:tr>
        <w:trPr>
          <w:cantSplit/>
        </w:trPr>
        <w:tc>
          <w:tcPr>
            <w:tcW w:type="dxa" w:w="243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Conclusion</w:t>
            </w:r>
          </w:p>
        </w:tc>
        <w:tc>
          <w:tcPr>
            <w:tcW w:type="dxa" w:w="691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Explicit statement on continuing suitability, adequacy and effectiveness.</w:t>
            </w:r>
          </w:p>
        </w:tc>
      </w:tr>
      <w:tr>
        <w:trPr>
          <w:cantSplit/>
        </w:trPr>
        <w:tc>
          <w:tcPr>
            <w:tcW w:type="dxa" w:w="243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Decision</w:t>
            </w:r>
          </w:p>
        </w:tc>
        <w:tc>
          <w:tcPr>
            <w:tcW w:type="dxa" w:w="691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Clear management direction, not a vague note to 'review' something.</w:t>
            </w:r>
          </w:p>
        </w:tc>
      </w:tr>
      <w:tr>
        <w:trPr>
          <w:cantSplit/>
        </w:trPr>
        <w:tc>
          <w:tcPr>
            <w:tcW w:type="dxa" w:w="243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Action</w:t>
            </w:r>
          </w:p>
        </w:tc>
        <w:tc>
          <w:tcPr>
            <w:tcW w:type="dxa" w:w="691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Specific deliverable, one accountable owner and realistic due date.</w:t>
            </w:r>
          </w:p>
        </w:tc>
      </w:tr>
      <w:tr>
        <w:trPr>
          <w:cantSplit/>
        </w:trPr>
        <w:tc>
          <w:tcPr>
            <w:tcW w:type="dxa" w:w="243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Resource decision</w:t>
            </w:r>
          </w:p>
        </w:tc>
        <w:tc>
          <w:tcPr>
            <w:tcW w:type="dxa" w:w="691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Amount/type of resource or authority granted, or rationale if not approved.</w:t>
            </w:r>
          </w:p>
        </w:tc>
      </w:tr>
      <w:tr>
        <w:trPr>
          <w:cantSplit/>
        </w:trPr>
        <w:tc>
          <w:tcPr>
            <w:tcW w:type="dxa" w:w="243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Communication</w:t>
            </w:r>
          </w:p>
        </w:tc>
        <w:tc>
          <w:tcPr>
            <w:tcW w:type="dxa" w:w="691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Identify what workers or other interested parties need to know.</w:t>
            </w:r>
          </w:p>
        </w:tc>
      </w:tr>
      <w:tr>
        <w:trPr>
          <w:cantSplit/>
        </w:trPr>
        <w:tc>
          <w:tcPr>
            <w:tcW w:type="dxa" w:w="243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Effectiveness follow-up</w:t>
            </w:r>
          </w:p>
        </w:tc>
        <w:tc>
          <w:tcPr>
            <w:tcW w:type="dxa" w:w="691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Define how significant changes/actions will be checked after implementation.</w:t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8. Action Follow-up</w:t>
      </w:r>
    </w:p>
    <w:p>
      <w:pPr>
        <w:spacing w:after="50" w:line="245" w:lineRule="auto"/>
      </w:pPr>
      <w:r>
        <w:rPr>
          <w:rFonts w:ascii="Cambria" w:hAnsi="Cambria" w:eastAsia="Cambria"/>
          <w:b w:val="0"/>
          <w:i w:val="0"/>
          <w:color w:val="000000"/>
          <w:sz w:val="19"/>
        </w:rPr>
        <w:t>Track management-review actions in the same governance system used for other OH&amp;SMS actions where practical. Do not close a high-risk action simply because a procedure was issued; verify that the change is implemented and effective where appropriate.</w:t>
      </w: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9. Common Mistakes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3345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Mistake</w:t>
            </w:r>
          </w:p>
        </w:tc>
        <w:tc>
          <w:tcPr>
            <w:tcW w:type="dxa" w:w="6009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5"/>
              </w:rPr>
              <w:t>Better Practice</w:t>
            </w:r>
          </w:p>
        </w:tc>
      </w:tr>
      <w:tr>
        <w:trPr>
          <w:cantSplit/>
        </w:trPr>
        <w:tc>
          <w:tcPr>
            <w:tcW w:type="dxa" w:w="334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Annual slide deck with no decisions.</w:t>
            </w:r>
          </w:p>
        </w:tc>
        <w:tc>
          <w:tcPr>
            <w:tcW w:type="dxa" w:w="60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Use concise inputs and record explicit decisions/actions.</w:t>
            </w:r>
          </w:p>
        </w:tc>
      </w:tr>
      <w:tr>
        <w:trPr>
          <w:cantSplit/>
        </w:trPr>
        <w:tc>
          <w:tcPr>
            <w:tcW w:type="dxa" w:w="334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Only lagging injury data is discussed.</w:t>
            </w:r>
          </w:p>
        </w:tc>
        <w:tc>
          <w:tcPr>
            <w:tcW w:type="dxa" w:w="60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Combine incident outcomes with leading control and action indicators.</w:t>
            </w:r>
          </w:p>
        </w:tc>
      </w:tr>
      <w:tr>
        <w:trPr>
          <w:cantSplit/>
        </w:trPr>
        <w:tc>
          <w:tcPr>
            <w:tcW w:type="dxa" w:w="334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Worker participation is represented by meeting attendance.</w:t>
            </w:r>
          </w:p>
        </w:tc>
        <w:tc>
          <w:tcPr>
            <w:tcW w:type="dxa" w:w="60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Use actual worker concerns, ideas and evidence of involvement.</w:t>
            </w:r>
          </w:p>
        </w:tc>
      </w:tr>
      <w:tr>
        <w:trPr>
          <w:cantSplit/>
        </w:trPr>
        <w:tc>
          <w:tcPr>
            <w:tcW w:type="dxa" w:w="334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Audit findings are closed on paperwork.</w:t>
            </w:r>
          </w:p>
        </w:tc>
        <w:tc>
          <w:tcPr>
            <w:tcW w:type="dxa" w:w="60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Review recurrence and effectiveness evidence.</w:t>
            </w:r>
          </w:p>
        </w:tc>
      </w:tr>
      <w:tr>
        <w:trPr>
          <w:cantSplit/>
        </w:trPr>
        <w:tc>
          <w:tcPr>
            <w:tcW w:type="dxa" w:w="334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Legal compliance is summarized as 'no issues'.</w:t>
            </w:r>
          </w:p>
        </w:tc>
        <w:tc>
          <w:tcPr>
            <w:tcW w:type="dxa" w:w="60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Show current evaluations, material obligations and any uncertainty/gaps.</w:t>
            </w:r>
          </w:p>
        </w:tc>
      </w:tr>
      <w:tr>
        <w:trPr>
          <w:cantSplit/>
        </w:trPr>
        <w:tc>
          <w:tcPr>
            <w:tcW w:type="dxa" w:w="3345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Every input gets equal time.</w:t>
            </w:r>
          </w:p>
        </w:tc>
        <w:tc>
          <w:tcPr>
            <w:tcW w:type="dxa" w:w="6009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5"/>
              </w:rPr>
              <w:t>Prioritize risk, change, noncompliance, serious events and deteriorating trends.</w:t>
            </w:r>
          </w:p>
        </w:tc>
      </w:tr>
    </w:tbl>
    <w:p>
      <w:pPr>
        <w:spacing w:after="0"/>
      </w:pP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10. Quick Preparation Checklist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[ ] Previous management-review actions updated.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[ ] Material context / interested-party changes summarized.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[ ] Climate relevance checked where applicable.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[ ] Objectives/KPI trends current and explained.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[ ] Top OH&amp;S risks and control changes summarized.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[ ] Incidents / near misses / ill-health trends and lessons updated.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[ ] Compliance evaluation and legal changes current.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[ ] Audit and corrective-action status current.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[ ] Worker consultation / participation input included.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[ ] Resource and competence constraints identified.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[ ] Management decisions required are clearly stated.</w:t>
      </w: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11. Related Documents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Health &amp; Safety Management Review Procedure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Health &amp; Safety Management Review Agenda &amp; Minutes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Occupational Health &amp; Safety Management Manual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OH&amp;S Objectives &amp; KPI Register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Hazard &amp; OH&amp;S Risk Register</w:t>
      </w:r>
    </w:p>
    <w:p>
      <w:pPr>
        <w:spacing w:after="24"/>
        <w:ind w:left="283" w:hanging="170"/>
      </w:pPr>
      <w:r>
        <w:rPr>
          <w:rFonts w:ascii="Cambria" w:hAnsi="Cambria" w:eastAsia="Cambria"/>
          <w:b/>
          <w:i w:val="0"/>
          <w:color w:val="1F4E79"/>
          <w:sz w:val="18"/>
        </w:rPr>
        <w:t xml:space="preserve">• </w:t>
      </w:r>
      <w:r>
        <w:rPr>
          <w:rFonts w:ascii="Cambria" w:hAnsi="Cambria" w:eastAsia="Cambria"/>
          <w:b w:val="0"/>
          <w:i w:val="0"/>
          <w:color w:val="000000"/>
          <w:sz w:val="18"/>
        </w:rPr>
        <w:t>Internal Health &amp; Safety Audit Report</w:t>
      </w:r>
    </w:p>
    <w:p>
      <w:pPr>
        <w:keepNext/>
        <w:spacing w:before="120" w:after="50"/>
      </w:pPr>
      <w:r>
        <w:rPr>
          <w:rFonts w:ascii="Cambria" w:hAnsi="Cambria" w:eastAsia="Cambria"/>
          <w:b/>
          <w:i w:val="0"/>
          <w:color w:val="1F4E79"/>
          <w:sz w:val="24"/>
        </w:rPr>
        <w:t>Approval and Revision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2381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Role</w:t>
            </w:r>
          </w:p>
        </w:tc>
        <w:tc>
          <w:tcPr>
            <w:tcW w:type="dxa" w:w="311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Name / Position</w:t>
            </w:r>
          </w:p>
        </w:tc>
        <w:tc>
          <w:tcPr>
            <w:tcW w:type="dxa" w:w="2268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Approval / Signature</w:t>
            </w:r>
          </w:p>
        </w:tc>
        <w:tc>
          <w:tcPr>
            <w:tcW w:type="dxa" w:w="158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6"/>
              </w:rPr>
              <w:t>Date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Prepared / Maintained by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OH&amp;S Manager / OH&amp;SMS Manager</w:t>
            </w:r>
          </w:p>
        </w:tc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Reviewed by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[REVIEWER / FUNCTION]</w:t>
            </w:r>
          </w:p>
        </w:tc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Approved by</w:t>
            </w:r>
          </w:p>
        </w:tc>
        <w:tc>
          <w:tcPr>
            <w:tcW w:type="dxa" w:w="311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  <w:t>Top Management</w:t>
            </w:r>
          </w:p>
        </w:tc>
        <w:tc>
          <w:tcPr>
            <w:tcW w:type="dxa" w:w="226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6"/>
              </w:rPr>
            </w:r>
          </w:p>
        </w:tc>
      </w:tr>
    </w:tbl>
    <w:p>
      <w:pPr>
        <w:spacing w:after="0"/>
      </w:pPr>
    </w:p>
    <w:p>
      <w:pPr>
        <w:keepNext/>
        <w:spacing w:before="60" w:after="50"/>
      </w:pPr>
      <w:r>
        <w:rPr>
          <w:rFonts w:ascii="Cambria" w:hAnsi="Cambria" w:eastAsia="Cambria"/>
          <w:b/>
          <w:i w:val="0"/>
          <w:color w:val="000000"/>
          <w:sz w:val="21"/>
        </w:rPr>
        <w:t>Revision History</w:t>
      </w:r>
    </w:p>
    <w:tbl>
      <w:tblPr>
        <w:tblW w:type="auto" w:w="0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1587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2154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5613"/>
            <w:shd w:val="clear" w:color="auto" w:fill="EAF3F8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Description</w:t>
            </w:r>
          </w:p>
        </w:tc>
      </w:tr>
      <w:tr>
        <w:trPr>
          <w:cantSplit/>
        </w:trPr>
        <w:tc>
          <w:tcPr>
            <w:tcW w:type="dxa" w:w="1587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1.0</w:t>
            </w:r>
          </w:p>
        </w:tc>
        <w:tc>
          <w:tcPr>
            <w:tcW w:type="dxa" w:w="2154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2026-09-18</w:t>
            </w:r>
          </w:p>
        </w:tc>
        <w:tc>
          <w:tcPr>
            <w:tcW w:type="dxa" w:w="5613"/>
            <w:tcMar>
              <w:top w:w="70" w:type="dxa"/>
              <w:left w:w="80" w:type="dxa"/>
              <w:bottom w:w="70" w:type="dxa"/>
              <w:right w:w="80" w:type="dxa"/>
            </w:tcMar>
          </w:tcPr>
          <w:p>
            <w:pPr>
              <w:spacing w:after="0"/>
              <w:jc w:val="left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Initial issue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397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>
  <w:p>
    <w:pPr>
      <w:pStyle w:val="Footer"/>
      <w:spacing w:after="0"/>
      <w:jc w:val="center"/>
    </w:pPr>
    <w:r>
      <w:rPr>
        <w:rFonts w:ascii="Cambria" w:hAnsi="Cambria" w:eastAsia="Cambria"/>
        <w:b w:val="0"/>
        <w:i w:val="0"/>
        <w:color w:val="666666"/>
        <w:sz w:val="16"/>
      </w:rPr>
      <w:t>Copyright © ISO Toolkits | www.iso-toolkits.org | info@iso-toolkits.org</w:t>
    </w:r>
  </w:p>
  <w:p>
    <w:pPr>
      <w:spacing w:before="0" w:after="0"/>
      <w:jc w:val="center"/>
    </w:pPr>
    <w:r>
      <w:rPr>
        <w:rFonts w:ascii="Cambria" w:hAnsi="Cambria" w:eastAsia="Cambria"/>
        <w:b w:val="0"/>
        <w:i w:val="0"/>
        <w:color w:val="666666"/>
        <w:sz w:val="16"/>
      </w:rPr>
      <w:t xml:space="preserve">CONTROLLED DOCUMENT | INTERNAL | Page </w:t>
    </w:r>
    <w:r>
      <w:fldChar w:fldCharType="begin"/>
    </w:r>
    <w:r>
      <w:instrText xml:space="preserve"> PAGE </w:instrText>
    </w:r>
    <w:r>
      <w:fldChar w:fldCharType="separate"/>
    </w:r>
    <w:r>
      <w:rPr>
        <w:rFonts w:ascii="Cambria" w:hAnsi="Cambria" w:eastAsia="Cambria"/>
        <w:b w:val="0"/>
        <w:i w:val="0"/>
        <w:color w:val="666666"/>
        <w:sz w:val="16"/>
      </w:rPr>
      <w:t>1</w:t>
    </w:r>
    <w:r>
      <w:fldChar w:fldCharType="end"/>
    </w:r>
    <w:r>
      <w:rPr>
        <w:rFonts w:ascii="Cambria" w:hAnsi="Cambria" w:eastAsia="Cambria"/>
        <w:b w:val="0"/>
        <w:i w:val="0"/>
        <w:color w:val="666666"/>
        <w:sz w:val="16"/>
      </w:rP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Cambria" w:hAnsi="Cambria" w:eastAsia="Cambria"/>
        <w:b w:val="0"/>
        <w:i w:val="0"/>
        <w:color w:val="666666"/>
        <w:sz w:val="16"/>
      </w:rPr>
      <w:t>1</w:t>
    </w:r>
    <w:r>
      <w:fldChar w:fldCharType="end"/>
    </w:r>
  </w:p>
</w:ftr>
</file>

<file path=word/header1.xml><?xml version="1.0" encoding="utf-8"?>
<w:hdr xmlns:w="http://schemas.openxmlformats.org/wordprocessingml/2006/main">
  <w:p>
    <w:pPr>
      <w:pStyle w:val="Header"/>
      <w:spacing w:after="0"/>
    </w:pPr>
  </w:p>
  <w:tbl>
    <w:tblPr>
      <w:tblW w:type="auto" w:w="0"/>
      <w:jc w:val="center"/>
      <w:tblBorders>
        <w:top w:val="single" w:sz="4" w:space="0" w:color="D0D7DE"/>
        <w:left w:val="single" w:sz="4" w:space="0" w:color="D0D7DE"/>
        <w:bottom w:val="single" w:sz="4" w:space="0" w:color="D0D7DE"/>
        <w:right w:val="single" w:sz="4" w:space="0" w:color="D0D7DE"/>
        <w:insideH w:val="single" w:sz="4" w:space="0" w:color="D0D7DE"/>
        <w:insideV w:val="single" w:sz="4" w:space="0" w:color="D0D7DE"/>
      </w:tblBorders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204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ORGANIZATION</w:t>
            <w:br/>
            <w:t>LOGO</w:t>
          </w:r>
        </w:p>
      </w:tc>
      <w:tc>
        <w:tcPr>
          <w:tcW w:type="dxa" w:w="4932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t>ORGANIZATION NAME</w:t>
            <w:br/>
          </w:r>
          <w:r>
            <w:rPr>
              <w:rFonts w:ascii="Cambria" w:hAnsi="Cambria" w:eastAsia="Cambria"/>
              <w:b/>
              <w:i w:val="0"/>
              <w:color w:val="000000"/>
              <w:sz w:val="18"/>
            </w:rPr>
            <w:t>Health &amp; Safety Management Review Guidance</w:t>
          </w:r>
        </w:p>
      </w:tc>
      <w:tc>
        <w:tcPr>
          <w:tcW w:type="dxa" w:w="2381"/>
          <w:tcMar>
            <w:top w:w="45" w:type="dxa"/>
            <w:left w:w="65" w:type="dxa"/>
            <w:bottom w:w="45" w:type="dxa"/>
            <w:right w:w="65" w:type="dxa"/>
          </w:tcMar>
          <w:vAlign w:val="center"/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000000"/>
              <w:sz w:val="14"/>
            </w:rPr>
            <w:t>OHSMS-GOV-006</w:t>
            <w:br/>
            <w:t>Version 1.0</w:t>
            <w:br/>
            <w:t>Effective 2026-09-18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m="http://schemas.openxmlformats.org/officeDocument/2006/math" xmlns:v="urn:schemas-microsoft-com:vml" xmlns:w="http://schemas.openxmlformats.org/wordprocessingml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&amp; Safety Management Review Guidance</dc:title>
  <dc:subject>Practical guidance for preparing and conducting effective OH&amp;SMS management reviews.</dc:subject>
  <dc:creator>ISO Toolkits</dc:creator>
  <cp:keywords>ISO 45001:2018, Amendment 1:2024, OH&amp;S, OHSMS</cp:keywords>
  <dc:description>Built using Word 2007-compatible OOXML rules.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