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40" w:after="40"/>
        <w:jc w:val="center"/>
      </w:pPr>
      <w:r>
        <w:rPr>
          <w:rFonts w:ascii="Cambria" w:hAnsi="Cambria" w:eastAsia="Cambria"/>
          <w:b/>
          <w:i w:val="0"/>
          <w:color w:val="1F4E79"/>
          <w:sz w:val="36"/>
        </w:rPr>
        <w:t>HEALTH &amp; SAFETY GAP ANALYSIS GUIDANCE</w:t>
      </w:r>
    </w:p>
    <w:p>
      <w:pPr>
        <w:spacing w:after="100"/>
        <w:jc w:val="center"/>
      </w:pPr>
      <w:r>
        <w:rPr>
          <w:rFonts w:ascii="Cambria" w:hAnsi="Cambria" w:eastAsia="Cambria"/>
          <w:b/>
          <w:i w:val="0"/>
          <w:color w:val="000000"/>
          <w:sz w:val="18"/>
        </w:rPr>
        <w:t>ISO 45001:2018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OH&amp;S Manager / OH&amp;SMS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20" w:after="50"/>
      </w:pPr>
      <w:r>
        <w:rPr>
          <w:rFonts w:ascii="Cambria" w:hAnsi="Cambria" w:eastAsia="Cambria"/>
          <w:b/>
          <w:i w:val="0"/>
          <w:color w:val="1F4E79"/>
          <w:sz w:val="24"/>
        </w:rPr>
        <w:t>1. Purpose and Use</w:t>
      </w:r>
    </w:p>
    <w:p>
      <w:pPr>
        <w:spacing w:after="50" w:line="245" w:lineRule="auto"/>
      </w:pPr>
      <w:r>
        <w:rPr>
          <w:rFonts w:ascii="Cambria" w:hAnsi="Cambria" w:eastAsia="Cambria"/>
          <w:b w:val="0"/>
          <w:i w:val="0"/>
          <w:color w:val="000000"/>
          <w:sz w:val="19"/>
        </w:rPr>
        <w:t>Use this guidance to evaluate the current Occupational Health &amp; Safety Management System (OH&amp;SMS), gather objective evidence, identify material gaps and convert those gaps into prioritized actions. It is designed to be used with the Health &amp; Safety Gap Analysis and Health &amp; Safety Gap Analysis Action Plan workbooks.</w:t>
      </w:r>
    </w:p>
    <w:p>
      <w:pPr>
        <w:spacing w:after="50" w:line="245" w:lineRule="auto"/>
      </w:pPr>
      <w:r>
        <w:rPr>
          <w:rFonts w:ascii="Cambria" w:hAnsi="Cambria" w:eastAsia="Cambria"/>
          <w:b w:val="0"/>
          <w:i w:val="0"/>
          <w:color w:val="000000"/>
          <w:sz w:val="19"/>
        </w:rPr>
        <w:t>This is an implementation aid, not a substitute for the licensed ISO 45001 standard, applicable law, competent professional advice or a certification audit.</w:t>
      </w:r>
    </w:p>
    <w:p>
      <w:pPr>
        <w:keepNext/>
        <w:spacing w:before="120" w:after="50"/>
      </w:pPr>
      <w:r>
        <w:rPr>
          <w:rFonts w:ascii="Cambria" w:hAnsi="Cambria" w:eastAsia="Cambria"/>
          <w:b/>
          <w:i w:val="0"/>
          <w:color w:val="1F4E79"/>
          <w:sz w:val="24"/>
        </w:rPr>
        <w:t>2. References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ISO 45001:2018 - Occupational health and safety management systems - Requirements with guidance for use.</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ISO 45001:2018/Amd 1:2024 - Climate action changes.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Organization’s OH&amp;SMS scope, legal/other requirements register, hazard and risk register, policy, procedures, incident history, monitoring and audit records.</w:t>
      </w:r>
    </w:p>
    <w:p>
      <w:pPr>
        <w:keepNext/>
        <w:spacing w:before="120" w:after="50"/>
      </w:pPr>
      <w:r>
        <w:rPr>
          <w:rFonts w:ascii="Cambria" w:hAnsi="Cambria" w:eastAsia="Cambria"/>
          <w:b/>
          <w:i w:val="0"/>
          <w:color w:val="1F4E79"/>
          <w:sz w:val="24"/>
        </w:rPr>
        <w:t>3. Assessment Workflow</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41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Step</w:t>
            </w:r>
          </w:p>
        </w:tc>
        <w:tc>
          <w:tcPr>
            <w:tcW w:type="dxa" w:w="5216"/>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What to Do</w:t>
            </w:r>
          </w:p>
        </w:tc>
        <w:tc>
          <w:tcPr>
            <w:tcW w:type="dxa" w:w="272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Practical Output</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1. Confirm scope</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Define locations, activities, worker groups, contractors, interfaces and evidence period.</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Assessment scope and contacts</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2. Prepare</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Review hazards, incidents, legal obligations, worker concerns, prior audits, objectives, changes and performance data.</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Focus areas and evidence request</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3. Engage workers</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Plan interviews and participation with workers/representatives who understand actual work and controls.</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Worker input and sampling plan</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4. Gather evidence</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Inspect workplaces, interview people, review documents/records and observe work practices.</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Objective evidence notes</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5. Rate current state</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Use Conforming, Partially Conforming, Nonconforming, Not Assessed or N/A based on evidence.</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Current-state rating</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6. Describe the gap</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State the expected outcome, evidence sampled and the demonstrated deficiency.</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Defensible gap statement</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7. Prioritize</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Consider potential injury/ill health severity, legal exposure, affected workers, systemic impact and dependencies.</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Priority</w:t>
            </w:r>
          </w:p>
        </w:tc>
      </w:tr>
      <w:tr>
        <w:trPr>
          <w:cantSplit/>
        </w:trPr>
        <w:tc>
          <w:tcPr>
            <w:tcW w:type="dxa" w:w="1417"/>
            <w:tcMar>
              <w:top w:w="70" w:type="dxa"/>
              <w:left w:w="80" w:type="dxa"/>
              <w:bottom w:w="70" w:type="dxa"/>
              <w:right w:w="80" w:type="dxa"/>
            </w:tcMar>
          </w:tcPr>
          <w:p>
            <w:pPr>
              <w:spacing w:after="0"/>
              <w:jc w:val="left"/>
            </w:pPr>
            <w:r>
              <w:rPr>
                <w:rFonts w:ascii="Cambria" w:hAnsi="Cambria" w:eastAsia="Cambria"/>
                <w:b w:val="0"/>
                <w:i w:val="0"/>
                <w:color w:val="000000"/>
                <w:sz w:val="15"/>
              </w:rPr>
              <w:t>8. Define action</w:t>
            </w:r>
          </w:p>
        </w:tc>
        <w:tc>
          <w:tcPr>
            <w:tcW w:type="dxa" w:w="5216"/>
            <w:tcMar>
              <w:top w:w="70" w:type="dxa"/>
              <w:left w:w="80" w:type="dxa"/>
              <w:bottom w:w="70" w:type="dxa"/>
              <w:right w:w="80" w:type="dxa"/>
            </w:tcMar>
          </w:tcPr>
          <w:p>
            <w:pPr>
              <w:spacing w:after="0"/>
              <w:jc w:val="left"/>
            </w:pPr>
            <w:r>
              <w:rPr>
                <w:rFonts w:ascii="Cambria" w:hAnsi="Cambria" w:eastAsia="Cambria"/>
                <w:b w:val="0"/>
                <w:i w:val="0"/>
                <w:color w:val="000000"/>
                <w:sz w:val="15"/>
              </w:rPr>
              <w:t>Specify deliverable, owner, due date, worker consultation and related hazard/legal/incident reference where relevant.</w:t>
            </w:r>
          </w:p>
        </w:tc>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5"/>
              </w:rPr>
              <w:t>Action plan entry</w:t>
            </w:r>
          </w:p>
        </w:tc>
      </w:tr>
    </w:tbl>
    <w:p>
      <w:pPr>
        <w:spacing w:after="0"/>
      </w:pPr>
    </w:p>
    <w:p>
      <w:pPr>
        <w:keepNext/>
        <w:spacing w:before="120" w:after="50"/>
      </w:pPr>
      <w:r>
        <w:rPr>
          <w:rFonts w:ascii="Cambria" w:hAnsi="Cambria" w:eastAsia="Cambria"/>
          <w:b/>
          <w:i w:val="0"/>
          <w:color w:val="1F4E79"/>
          <w:sz w:val="24"/>
        </w:rPr>
        <w:t>4. Current-State Rating</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3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Rating</w:t>
            </w:r>
          </w:p>
        </w:tc>
        <w:tc>
          <w:tcPr>
            <w:tcW w:type="dxa" w:w="691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Use When</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6"/>
              </w:rPr>
              <w:t>Conforming</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6"/>
              </w:rPr>
              <w:t>Evidence demonstrates the applicable OH&amp;SMS requirement is established and operating in the assessed scope.</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6"/>
              </w:rPr>
              <w:t>Partially Conforming</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6"/>
              </w:rPr>
              <w:t>Arrangements exist but coverage, consistency, participation, evidence or effectiveness is incomplete.</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6"/>
              </w:rPr>
              <w:t>Nonconforming</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6"/>
              </w:rPr>
              <w:t>The applicable requirement is absent, materially ineffective or not supported by objective evidence.</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6"/>
              </w:rPr>
              <w:t>Not Assessed</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6"/>
              </w:rPr>
              <w:t>The assessor has not yet obtained enough evidence to conclude.</w:t>
            </w:r>
          </w:p>
        </w:tc>
      </w:tr>
      <w:tr>
        <w:trPr>
          <w:cantSplit/>
        </w:trPr>
        <w:tc>
          <w:tcPr>
            <w:tcW w:type="dxa" w:w="2438"/>
            <w:tcMar>
              <w:top w:w="70" w:type="dxa"/>
              <w:left w:w="80" w:type="dxa"/>
              <w:bottom w:w="70" w:type="dxa"/>
              <w:right w:w="80" w:type="dxa"/>
            </w:tcMar>
          </w:tcPr>
          <w:p>
            <w:pPr>
              <w:spacing w:after="0"/>
              <w:jc w:val="left"/>
            </w:pPr>
            <w:r>
              <w:rPr>
                <w:rFonts w:ascii="Cambria" w:hAnsi="Cambria" w:eastAsia="Cambria"/>
                <w:b w:val="0"/>
                <w:i w:val="0"/>
                <w:color w:val="000000"/>
                <w:sz w:val="16"/>
              </w:rPr>
              <w:t>N/A</w:t>
            </w:r>
          </w:p>
        </w:tc>
        <w:tc>
          <w:tcPr>
            <w:tcW w:type="dxa" w:w="6917"/>
            <w:tcMar>
              <w:top w:w="70" w:type="dxa"/>
              <w:left w:w="80" w:type="dxa"/>
              <w:bottom w:w="70" w:type="dxa"/>
              <w:right w:w="80" w:type="dxa"/>
            </w:tcMar>
          </w:tcPr>
          <w:p>
            <w:pPr>
              <w:spacing w:after="0"/>
              <w:jc w:val="left"/>
            </w:pPr>
            <w:r>
              <w:rPr>
                <w:rFonts w:ascii="Cambria" w:hAnsi="Cambria" w:eastAsia="Cambria"/>
                <w:b w:val="0"/>
                <w:i w:val="0"/>
                <w:color w:val="000000"/>
                <w:sz w:val="16"/>
              </w:rPr>
              <w:t>The criterion genuinely does not apply to the assessed scope; the rationale should be clear where N/A could otherwise hide risk.</w:t>
            </w:r>
          </w:p>
        </w:tc>
      </w:tr>
    </w:tbl>
    <w:p>
      <w:pPr>
        <w:spacing w:after="0"/>
      </w:pPr>
    </w:p>
    <w:p>
      <w:pPr>
        <w:keepNext/>
        <w:spacing w:before="120" w:after="50"/>
      </w:pPr>
      <w:r>
        <w:rPr>
          <w:rFonts w:ascii="Cambria" w:hAnsi="Cambria" w:eastAsia="Cambria"/>
          <w:b/>
          <w:i w:val="0"/>
          <w:color w:val="1F4E79"/>
          <w:sz w:val="24"/>
        </w:rPr>
        <w:t>5. Evidence - What Good Evidence Looks Like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98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Evidence Source</w:t>
            </w:r>
          </w:p>
        </w:tc>
        <w:tc>
          <w:tcPr>
            <w:tcW w:type="dxa" w:w="4252"/>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Examples</w:t>
            </w:r>
          </w:p>
        </w:tc>
        <w:tc>
          <w:tcPr>
            <w:tcW w:type="dxa" w:w="311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Quality Check</w:t>
            </w:r>
          </w:p>
        </w:tc>
      </w:tr>
      <w:tr>
        <w:trPr>
          <w:cantSplit/>
        </w:trPr>
        <w:tc>
          <w:tcPr>
            <w:tcW w:type="dxa" w:w="1984"/>
            <w:tcMar>
              <w:top w:w="70" w:type="dxa"/>
              <w:left w:w="80" w:type="dxa"/>
              <w:bottom w:w="70" w:type="dxa"/>
              <w:right w:w="80" w:type="dxa"/>
            </w:tcMar>
          </w:tcPr>
          <w:p>
            <w:pPr>
              <w:spacing w:after="0"/>
              <w:jc w:val="left"/>
            </w:pPr>
            <w:r>
              <w:rPr>
                <w:rFonts w:ascii="Cambria" w:hAnsi="Cambria" w:eastAsia="Cambria"/>
                <w:b w:val="0"/>
                <w:i w:val="0"/>
                <w:color w:val="000000"/>
                <w:sz w:val="15"/>
              </w:rPr>
              <w:t>Workplace observation</w:t>
            </w:r>
          </w:p>
        </w:tc>
        <w:tc>
          <w:tcPr>
            <w:tcW w:type="dxa" w:w="4252"/>
            <w:tcMar>
              <w:top w:w="70" w:type="dxa"/>
              <w:left w:w="80" w:type="dxa"/>
              <w:bottom w:w="70" w:type="dxa"/>
              <w:right w:w="80" w:type="dxa"/>
            </w:tcMar>
          </w:tcPr>
          <w:p>
            <w:pPr>
              <w:spacing w:after="0"/>
              <w:jc w:val="left"/>
            </w:pPr>
            <w:r>
              <w:rPr>
                <w:rFonts w:ascii="Cambria" w:hAnsi="Cambria" w:eastAsia="Cambria"/>
                <w:b w:val="0"/>
                <w:i w:val="0"/>
                <w:color w:val="000000"/>
                <w:sz w:val="15"/>
              </w:rPr>
              <w:t>Work methods, guards, housekeeping, PPE, permits, contractor interfaces, emergency routes.</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5"/>
              </w:rPr>
              <w:t>Observed practice matches the stated controls and reflects normal work.</w:t>
            </w:r>
          </w:p>
        </w:tc>
      </w:tr>
      <w:tr>
        <w:trPr>
          <w:cantSplit/>
        </w:trPr>
        <w:tc>
          <w:tcPr>
            <w:tcW w:type="dxa" w:w="1984"/>
            <w:tcMar>
              <w:top w:w="70" w:type="dxa"/>
              <w:left w:w="80" w:type="dxa"/>
              <w:bottom w:w="70" w:type="dxa"/>
              <w:right w:w="80" w:type="dxa"/>
            </w:tcMar>
          </w:tcPr>
          <w:p>
            <w:pPr>
              <w:spacing w:after="0"/>
              <w:jc w:val="left"/>
            </w:pPr>
            <w:r>
              <w:rPr>
                <w:rFonts w:ascii="Cambria" w:hAnsi="Cambria" w:eastAsia="Cambria"/>
                <w:b w:val="0"/>
                <w:i w:val="0"/>
                <w:color w:val="000000"/>
                <w:sz w:val="15"/>
              </w:rPr>
              <w:t>Worker interviews</w:t>
            </w:r>
          </w:p>
        </w:tc>
        <w:tc>
          <w:tcPr>
            <w:tcW w:type="dxa" w:w="4252"/>
            <w:tcMar>
              <w:top w:w="70" w:type="dxa"/>
              <w:left w:w="80" w:type="dxa"/>
              <w:bottom w:w="70" w:type="dxa"/>
              <w:right w:w="80" w:type="dxa"/>
            </w:tcMar>
          </w:tcPr>
          <w:p>
            <w:pPr>
              <w:spacing w:after="0"/>
              <w:jc w:val="left"/>
            </w:pPr>
            <w:r>
              <w:rPr>
                <w:rFonts w:ascii="Cambria" w:hAnsi="Cambria" w:eastAsia="Cambria"/>
                <w:b w:val="0"/>
                <w:i w:val="0"/>
                <w:color w:val="000000"/>
                <w:sz w:val="15"/>
              </w:rPr>
              <w:t>Understanding of hazards, controls, reporting, consultation, emergency actions and training.</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5"/>
              </w:rPr>
              <w:t>Sample workers doing the work; compare statements with records and observation.</w:t>
            </w:r>
          </w:p>
        </w:tc>
      </w:tr>
      <w:tr>
        <w:trPr>
          <w:cantSplit/>
        </w:trPr>
        <w:tc>
          <w:tcPr>
            <w:tcW w:type="dxa" w:w="1984"/>
            <w:tcMar>
              <w:top w:w="70" w:type="dxa"/>
              <w:left w:w="80" w:type="dxa"/>
              <w:bottom w:w="70" w:type="dxa"/>
              <w:right w:w="80" w:type="dxa"/>
            </w:tcMar>
          </w:tcPr>
          <w:p>
            <w:pPr>
              <w:spacing w:after="0"/>
              <w:jc w:val="left"/>
            </w:pPr>
            <w:r>
              <w:rPr>
                <w:rFonts w:ascii="Cambria" w:hAnsi="Cambria" w:eastAsia="Cambria"/>
                <w:b w:val="0"/>
                <w:i w:val="0"/>
                <w:color w:val="000000"/>
                <w:sz w:val="15"/>
              </w:rPr>
              <w:t>Documents</w:t>
            </w:r>
          </w:p>
        </w:tc>
        <w:tc>
          <w:tcPr>
            <w:tcW w:type="dxa" w:w="4252"/>
            <w:tcMar>
              <w:top w:w="70" w:type="dxa"/>
              <w:left w:w="80" w:type="dxa"/>
              <w:bottom w:w="70" w:type="dxa"/>
              <w:right w:w="80" w:type="dxa"/>
            </w:tcMar>
          </w:tcPr>
          <w:p>
            <w:pPr>
              <w:spacing w:after="0"/>
              <w:jc w:val="left"/>
            </w:pPr>
            <w:r>
              <w:rPr>
                <w:rFonts w:ascii="Cambria" w:hAnsi="Cambria" w:eastAsia="Cambria"/>
                <w:b w:val="0"/>
                <w:i w:val="0"/>
                <w:color w:val="000000"/>
                <w:sz w:val="15"/>
              </w:rPr>
              <w:t>Policy, procedures, risk assessments, plans, work instructions and responsibilities.</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5"/>
              </w:rPr>
              <w:t>Current, approved and applicable to the actual work.</w:t>
            </w:r>
          </w:p>
        </w:tc>
      </w:tr>
      <w:tr>
        <w:trPr>
          <w:cantSplit/>
        </w:trPr>
        <w:tc>
          <w:tcPr>
            <w:tcW w:type="dxa" w:w="1984"/>
            <w:tcMar>
              <w:top w:w="70" w:type="dxa"/>
              <w:left w:w="80" w:type="dxa"/>
              <w:bottom w:w="70" w:type="dxa"/>
              <w:right w:w="80" w:type="dxa"/>
            </w:tcMar>
          </w:tcPr>
          <w:p>
            <w:pPr>
              <w:spacing w:after="0"/>
              <w:jc w:val="left"/>
            </w:pPr>
            <w:r>
              <w:rPr>
                <w:rFonts w:ascii="Cambria" w:hAnsi="Cambria" w:eastAsia="Cambria"/>
                <w:b w:val="0"/>
                <w:i w:val="0"/>
                <w:color w:val="000000"/>
                <w:sz w:val="15"/>
              </w:rPr>
              <w:t>Records</w:t>
            </w:r>
          </w:p>
        </w:tc>
        <w:tc>
          <w:tcPr>
            <w:tcW w:type="dxa" w:w="4252"/>
            <w:tcMar>
              <w:top w:w="70" w:type="dxa"/>
              <w:left w:w="80" w:type="dxa"/>
              <w:bottom w:w="70" w:type="dxa"/>
              <w:right w:w="80" w:type="dxa"/>
            </w:tcMar>
          </w:tcPr>
          <w:p>
            <w:pPr>
              <w:spacing w:after="0"/>
              <w:jc w:val="left"/>
            </w:pPr>
            <w:r>
              <w:rPr>
                <w:rFonts w:ascii="Cambria" w:hAnsi="Cambria" w:eastAsia="Cambria"/>
                <w:b w:val="0"/>
                <w:i w:val="0"/>
                <w:color w:val="000000"/>
                <w:sz w:val="15"/>
              </w:rPr>
              <w:t>Inspections, training, incidents, monitoring, maintenance, permits, consultation and action closure.</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5"/>
              </w:rPr>
              <w:t>Dated, attributable and representative of operation.</w:t>
            </w:r>
          </w:p>
        </w:tc>
      </w:tr>
      <w:tr>
        <w:trPr>
          <w:cantSplit/>
        </w:trPr>
        <w:tc>
          <w:tcPr>
            <w:tcW w:type="dxa" w:w="1984"/>
            <w:tcMar>
              <w:top w:w="70" w:type="dxa"/>
              <w:left w:w="80" w:type="dxa"/>
              <w:bottom w:w="70" w:type="dxa"/>
              <w:right w:w="80" w:type="dxa"/>
            </w:tcMar>
          </w:tcPr>
          <w:p>
            <w:pPr>
              <w:spacing w:after="0"/>
              <w:jc w:val="left"/>
            </w:pPr>
            <w:r>
              <w:rPr>
                <w:rFonts w:ascii="Cambria" w:hAnsi="Cambria" w:eastAsia="Cambria"/>
                <w:b w:val="0"/>
                <w:i w:val="0"/>
                <w:color w:val="000000"/>
                <w:sz w:val="15"/>
              </w:rPr>
              <w:t>Monitoring / measurement</w:t>
            </w:r>
          </w:p>
        </w:tc>
        <w:tc>
          <w:tcPr>
            <w:tcW w:type="dxa" w:w="4252"/>
            <w:tcMar>
              <w:top w:w="70" w:type="dxa"/>
              <w:left w:w="80" w:type="dxa"/>
              <w:bottom w:w="70" w:type="dxa"/>
              <w:right w:w="80" w:type="dxa"/>
            </w:tcMar>
          </w:tcPr>
          <w:p>
            <w:pPr>
              <w:spacing w:after="0"/>
              <w:jc w:val="left"/>
            </w:pPr>
            <w:r>
              <w:rPr>
                <w:rFonts w:ascii="Cambria" w:hAnsi="Cambria" w:eastAsia="Cambria"/>
                <w:b w:val="0"/>
                <w:i w:val="0"/>
                <w:color w:val="000000"/>
                <w:sz w:val="15"/>
              </w:rPr>
              <w:t>Exposure results, inspections, trend data, health/safety KPIs and equipment checks.</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5"/>
              </w:rPr>
              <w:t>Method and data are suitable for the decision being made.</w:t>
            </w:r>
          </w:p>
        </w:tc>
      </w:tr>
    </w:tbl>
    <w:p>
      <w:pPr>
        <w:spacing w:after="0"/>
      </w:pPr>
    </w:p>
    <w:p>
      <w:pPr>
        <w:keepNext/>
        <w:spacing w:before="120" w:after="50"/>
      </w:pPr>
      <w:r>
        <w:rPr>
          <w:rFonts w:ascii="Cambria" w:hAnsi="Cambria" w:eastAsia="Cambria"/>
          <w:b/>
          <w:i w:val="0"/>
          <w:color w:val="1F4E79"/>
          <w:sz w:val="24"/>
        </w:rPr>
        <w:t>6. Writing a Strong Gap Statement</w:t>
      </w:r>
    </w:p>
    <w:p>
      <w:pPr>
        <w:spacing w:after="50" w:line="245" w:lineRule="auto"/>
      </w:pPr>
      <w:r>
        <w:rPr>
          <w:rFonts w:ascii="Cambria" w:hAnsi="Cambria" w:eastAsia="Cambria"/>
          <w:b w:val="0"/>
          <w:i w:val="0"/>
          <w:color w:val="000000"/>
          <w:sz w:val="19"/>
        </w:rPr>
        <w:t>A useful gap statement should be factual and actionable. Identify the expected OH&amp;SMS outcome, the evidence sampled and the specific missing or ineffective arrangement. Avoid statements such as “safety culture is poor” unless supported by defined evidence and a clear criterion.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005"/>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Weak</w:t>
            </w:r>
          </w:p>
        </w:tc>
        <w:tc>
          <w:tcPr>
            <w:tcW w:type="dxa" w:w="6350"/>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Better Practice</w:t>
            </w:r>
          </w:p>
        </w:tc>
      </w:tr>
      <w:tr>
        <w:trPr>
          <w:cantSplit/>
        </w:trPr>
        <w:tc>
          <w:tcPr>
            <w:tcW w:type="dxa" w:w="3005"/>
            <w:tcMar>
              <w:top w:w="70" w:type="dxa"/>
              <w:left w:w="80" w:type="dxa"/>
              <w:bottom w:w="70" w:type="dxa"/>
              <w:right w:w="80" w:type="dxa"/>
            </w:tcMar>
          </w:tcPr>
          <w:p>
            <w:pPr>
              <w:spacing w:after="0"/>
              <w:jc w:val="left"/>
            </w:pPr>
            <w:r>
              <w:rPr>
                <w:rFonts w:ascii="Cambria" w:hAnsi="Cambria" w:eastAsia="Cambria"/>
                <w:b w:val="0"/>
                <w:i w:val="0"/>
                <w:color w:val="000000"/>
                <w:sz w:val="16"/>
              </w:rPr>
              <w:t>“Risk assessment is poor.”</w:t>
            </w:r>
          </w:p>
        </w:tc>
        <w:tc>
          <w:tcPr>
            <w:tcW w:type="dxa" w:w="6350"/>
            <w:tcMar>
              <w:top w:w="70" w:type="dxa"/>
              <w:left w:w="80" w:type="dxa"/>
              <w:bottom w:w="70" w:type="dxa"/>
              <w:right w:w="80" w:type="dxa"/>
            </w:tcMar>
          </w:tcPr>
          <w:p>
            <w:pPr>
              <w:spacing w:after="0"/>
              <w:jc w:val="left"/>
            </w:pPr>
            <w:r>
              <w:rPr>
                <w:rFonts w:ascii="Cambria" w:hAnsi="Cambria" w:eastAsia="Cambria"/>
                <w:b w:val="0"/>
                <w:i w:val="0"/>
                <w:color w:val="000000"/>
                <w:sz w:val="16"/>
              </w:rPr>
              <w:t>Identify the activity/sample, the hazard or exposure missed, the applicable assessment expectation and the resulting control weakness.</w:t>
            </w:r>
          </w:p>
        </w:tc>
      </w:tr>
      <w:tr>
        <w:trPr>
          <w:cantSplit/>
        </w:trPr>
        <w:tc>
          <w:tcPr>
            <w:tcW w:type="dxa" w:w="3005"/>
            <w:tcMar>
              <w:top w:w="70" w:type="dxa"/>
              <w:left w:w="80" w:type="dxa"/>
              <w:bottom w:w="70" w:type="dxa"/>
              <w:right w:w="80" w:type="dxa"/>
            </w:tcMar>
          </w:tcPr>
          <w:p>
            <w:pPr>
              <w:spacing w:after="0"/>
              <w:jc w:val="left"/>
            </w:pPr>
            <w:r>
              <w:rPr>
                <w:rFonts w:ascii="Cambria" w:hAnsi="Cambria" w:eastAsia="Cambria"/>
                <w:b w:val="0"/>
                <w:i w:val="0"/>
                <w:color w:val="000000"/>
                <w:sz w:val="16"/>
              </w:rPr>
              <w:t>“Workers are not involved.”</w:t>
            </w:r>
          </w:p>
        </w:tc>
        <w:tc>
          <w:tcPr>
            <w:tcW w:type="dxa" w:w="6350"/>
            <w:tcMar>
              <w:top w:w="70" w:type="dxa"/>
              <w:left w:w="80" w:type="dxa"/>
              <w:bottom w:w="70" w:type="dxa"/>
              <w:right w:w="80" w:type="dxa"/>
            </w:tcMar>
          </w:tcPr>
          <w:p>
            <w:pPr>
              <w:spacing w:after="0"/>
              <w:jc w:val="left"/>
            </w:pPr>
            <w:r>
              <w:rPr>
                <w:rFonts w:ascii="Cambria" w:hAnsi="Cambria" w:eastAsia="Cambria"/>
                <w:b w:val="0"/>
                <w:i w:val="0"/>
                <w:color w:val="000000"/>
                <w:sz w:val="16"/>
              </w:rPr>
              <w:t>Identify the decision/process where consultation or participation was expected and the evidence showing workers were not effectively involved.</w:t>
            </w:r>
          </w:p>
        </w:tc>
      </w:tr>
      <w:tr>
        <w:trPr>
          <w:cantSplit/>
        </w:trPr>
        <w:tc>
          <w:tcPr>
            <w:tcW w:type="dxa" w:w="3005"/>
            <w:tcMar>
              <w:top w:w="70" w:type="dxa"/>
              <w:left w:w="80" w:type="dxa"/>
              <w:bottom w:w="70" w:type="dxa"/>
              <w:right w:w="80" w:type="dxa"/>
            </w:tcMar>
          </w:tcPr>
          <w:p>
            <w:pPr>
              <w:spacing w:after="0"/>
              <w:jc w:val="left"/>
            </w:pPr>
            <w:r>
              <w:rPr>
                <w:rFonts w:ascii="Cambria" w:hAnsi="Cambria" w:eastAsia="Cambria"/>
                <w:b w:val="0"/>
                <w:i w:val="0"/>
                <w:color w:val="000000"/>
                <w:sz w:val="16"/>
              </w:rPr>
              <w:t>“Emergency plan needs improvement.”</w:t>
            </w:r>
          </w:p>
        </w:tc>
        <w:tc>
          <w:tcPr>
            <w:tcW w:type="dxa" w:w="6350"/>
            <w:tcMar>
              <w:top w:w="70" w:type="dxa"/>
              <w:left w:w="80" w:type="dxa"/>
              <w:bottom w:w="70" w:type="dxa"/>
              <w:right w:w="80" w:type="dxa"/>
            </w:tcMar>
          </w:tcPr>
          <w:p>
            <w:pPr>
              <w:spacing w:after="0"/>
              <w:jc w:val="left"/>
            </w:pPr>
            <w:r>
              <w:rPr>
                <w:rFonts w:ascii="Cambria" w:hAnsi="Cambria" w:eastAsia="Cambria"/>
                <w:b w:val="0"/>
                <w:i w:val="0"/>
                <w:color w:val="000000"/>
                <w:sz w:val="16"/>
              </w:rPr>
              <w:t>State which scenario, role, communication, resource or testing arrangement was missing or ineffective.</w:t>
            </w:r>
          </w:p>
        </w:tc>
      </w:tr>
    </w:tbl>
    <w:p>
      <w:pPr>
        <w:spacing w:after="0"/>
      </w:pPr>
    </w:p>
    <w:p>
      <w:pPr>
        <w:keepNext/>
        <w:spacing w:before="120" w:after="50"/>
      </w:pPr>
      <w:r>
        <w:rPr>
          <w:rFonts w:ascii="Cambria" w:hAnsi="Cambria" w:eastAsia="Cambria"/>
          <w:b/>
          <w:i w:val="0"/>
          <w:color w:val="1F4E79"/>
          <w:sz w:val="24"/>
        </w:rPr>
        <w:t>7. Priority and Escalation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36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Priority</w:t>
            </w:r>
          </w:p>
        </w:tc>
        <w:tc>
          <w:tcPr>
            <w:tcW w:type="dxa" w:w="4819"/>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Typical Basis</w:t>
            </w:r>
          </w:p>
        </w:tc>
        <w:tc>
          <w:tcPr>
            <w:tcW w:type="dxa" w:w="3175"/>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Expected Response</w:t>
            </w:r>
          </w:p>
        </w:tc>
      </w:tr>
      <w:tr>
        <w:trPr>
          <w:cantSplit/>
        </w:trPr>
        <w:tc>
          <w:tcPr>
            <w:tcW w:type="dxa" w:w="1361"/>
            <w:tcMar>
              <w:top w:w="70" w:type="dxa"/>
              <w:left w:w="80" w:type="dxa"/>
              <w:bottom w:w="70" w:type="dxa"/>
              <w:right w:w="80" w:type="dxa"/>
            </w:tcMar>
          </w:tcPr>
          <w:p>
            <w:pPr>
              <w:spacing w:after="0"/>
              <w:jc w:val="left"/>
            </w:pPr>
            <w:r>
              <w:rPr>
                <w:rFonts w:ascii="Cambria" w:hAnsi="Cambria" w:eastAsia="Cambria"/>
                <w:b w:val="0"/>
                <w:i w:val="0"/>
                <w:color w:val="000000"/>
                <w:sz w:val="15"/>
              </w:rPr>
              <w:t>High</w:t>
            </w:r>
          </w:p>
        </w:tc>
        <w:tc>
          <w:tcPr>
            <w:tcW w:type="dxa" w:w="4819"/>
            <w:tcMar>
              <w:top w:w="70" w:type="dxa"/>
              <w:left w:w="80" w:type="dxa"/>
              <w:bottom w:w="70" w:type="dxa"/>
              <w:right w:w="80" w:type="dxa"/>
            </w:tcMar>
          </w:tcPr>
          <w:p>
            <w:pPr>
              <w:spacing w:after="0"/>
              <w:jc w:val="left"/>
            </w:pPr>
            <w:r>
              <w:rPr>
                <w:rFonts w:ascii="Cambria" w:hAnsi="Cambria" w:eastAsia="Cambria"/>
                <w:b w:val="0"/>
                <w:i w:val="0"/>
                <w:color w:val="000000"/>
                <w:sz w:val="15"/>
              </w:rPr>
              <w:t>Serious potential injury/ill health, legal breach, uncontrolled significant hazard, systemic failure or immediate certification blocker.</w:t>
            </w:r>
          </w:p>
        </w:tc>
        <w:tc>
          <w:tcPr>
            <w:tcW w:type="dxa" w:w="3175"/>
            <w:tcMar>
              <w:top w:w="70" w:type="dxa"/>
              <w:left w:w="80" w:type="dxa"/>
              <w:bottom w:w="70" w:type="dxa"/>
              <w:right w:w="80" w:type="dxa"/>
            </w:tcMar>
          </w:tcPr>
          <w:p>
            <w:pPr>
              <w:spacing w:after="0"/>
              <w:jc w:val="left"/>
            </w:pPr>
            <w:r>
              <w:rPr>
                <w:rFonts w:ascii="Cambria" w:hAnsi="Cambria" w:eastAsia="Cambria"/>
                <w:b w:val="0"/>
                <w:i w:val="0"/>
                <w:color w:val="000000"/>
                <w:sz w:val="15"/>
              </w:rPr>
              <w:t>Apply urgent control/containment where needed, assign owner and escalate through OH&amp;SMS governance.</w:t>
            </w:r>
          </w:p>
        </w:tc>
      </w:tr>
      <w:tr>
        <w:trPr>
          <w:cantSplit/>
        </w:trPr>
        <w:tc>
          <w:tcPr>
            <w:tcW w:type="dxa" w:w="1361"/>
            <w:tcMar>
              <w:top w:w="70" w:type="dxa"/>
              <w:left w:w="80" w:type="dxa"/>
              <w:bottom w:w="70" w:type="dxa"/>
              <w:right w:w="80" w:type="dxa"/>
            </w:tcMar>
          </w:tcPr>
          <w:p>
            <w:pPr>
              <w:spacing w:after="0"/>
              <w:jc w:val="left"/>
            </w:pPr>
            <w:r>
              <w:rPr>
                <w:rFonts w:ascii="Cambria" w:hAnsi="Cambria" w:eastAsia="Cambria"/>
                <w:b w:val="0"/>
                <w:i w:val="0"/>
                <w:color w:val="000000"/>
                <w:sz w:val="15"/>
              </w:rPr>
              <w:t>Medium</w:t>
            </w:r>
          </w:p>
        </w:tc>
        <w:tc>
          <w:tcPr>
            <w:tcW w:type="dxa" w:w="4819"/>
            <w:tcMar>
              <w:top w:w="70" w:type="dxa"/>
              <w:left w:w="80" w:type="dxa"/>
              <w:bottom w:w="70" w:type="dxa"/>
              <w:right w:w="80" w:type="dxa"/>
            </w:tcMar>
          </w:tcPr>
          <w:p>
            <w:pPr>
              <w:spacing w:after="0"/>
              <w:jc w:val="left"/>
            </w:pPr>
            <w:r>
              <w:rPr>
                <w:rFonts w:ascii="Cambria" w:hAnsi="Cambria" w:eastAsia="Cambria"/>
                <w:b w:val="0"/>
                <w:i w:val="0"/>
                <w:color w:val="000000"/>
                <w:sz w:val="15"/>
              </w:rPr>
              <w:t>Material weakness with some existing control or moderate exposure; implementation dependency requiring planned work.</w:t>
            </w:r>
          </w:p>
        </w:tc>
        <w:tc>
          <w:tcPr>
            <w:tcW w:type="dxa" w:w="3175"/>
            <w:tcMar>
              <w:top w:w="70" w:type="dxa"/>
              <w:left w:w="80" w:type="dxa"/>
              <w:bottom w:w="70" w:type="dxa"/>
              <w:right w:w="80" w:type="dxa"/>
            </w:tcMar>
          </w:tcPr>
          <w:p>
            <w:pPr>
              <w:spacing w:after="0"/>
              <w:jc w:val="left"/>
            </w:pPr>
            <w:r>
              <w:rPr>
                <w:rFonts w:ascii="Cambria" w:hAnsi="Cambria" w:eastAsia="Cambria"/>
                <w:b w:val="0"/>
                <w:i w:val="0"/>
                <w:color w:val="000000"/>
                <w:sz w:val="15"/>
              </w:rPr>
              <w:t>Plan, resource and track through the action plan.</w:t>
            </w:r>
          </w:p>
        </w:tc>
      </w:tr>
      <w:tr>
        <w:trPr>
          <w:cantSplit/>
        </w:trPr>
        <w:tc>
          <w:tcPr>
            <w:tcW w:type="dxa" w:w="1361"/>
            <w:tcMar>
              <w:top w:w="70" w:type="dxa"/>
              <w:left w:w="80" w:type="dxa"/>
              <w:bottom w:w="70" w:type="dxa"/>
              <w:right w:w="80" w:type="dxa"/>
            </w:tcMar>
          </w:tcPr>
          <w:p>
            <w:pPr>
              <w:spacing w:after="0"/>
              <w:jc w:val="left"/>
            </w:pPr>
            <w:r>
              <w:rPr>
                <w:rFonts w:ascii="Cambria" w:hAnsi="Cambria" w:eastAsia="Cambria"/>
                <w:b w:val="0"/>
                <w:i w:val="0"/>
                <w:color w:val="000000"/>
                <w:sz w:val="15"/>
              </w:rPr>
              <w:t>Low</w:t>
            </w:r>
          </w:p>
        </w:tc>
        <w:tc>
          <w:tcPr>
            <w:tcW w:type="dxa" w:w="4819"/>
            <w:tcMar>
              <w:top w:w="70" w:type="dxa"/>
              <w:left w:w="80" w:type="dxa"/>
              <w:bottom w:w="70" w:type="dxa"/>
              <w:right w:w="80" w:type="dxa"/>
            </w:tcMar>
          </w:tcPr>
          <w:p>
            <w:pPr>
              <w:spacing w:after="0"/>
              <w:jc w:val="left"/>
            </w:pPr>
            <w:r>
              <w:rPr>
                <w:rFonts w:ascii="Cambria" w:hAnsi="Cambria" w:eastAsia="Cambria"/>
                <w:b w:val="0"/>
                <w:i w:val="0"/>
                <w:color w:val="000000"/>
                <w:sz w:val="15"/>
              </w:rPr>
              <w:t>Limited exposure or improvement opportunity with low residual risk.</w:t>
            </w:r>
          </w:p>
        </w:tc>
        <w:tc>
          <w:tcPr>
            <w:tcW w:type="dxa" w:w="3175"/>
            <w:tcMar>
              <w:top w:w="70" w:type="dxa"/>
              <w:left w:w="80" w:type="dxa"/>
              <w:bottom w:w="70" w:type="dxa"/>
              <w:right w:w="80" w:type="dxa"/>
            </w:tcMar>
          </w:tcPr>
          <w:p>
            <w:pPr>
              <w:spacing w:after="0"/>
              <w:jc w:val="left"/>
            </w:pPr>
            <w:r>
              <w:rPr>
                <w:rFonts w:ascii="Cambria" w:hAnsi="Cambria" w:eastAsia="Cambria"/>
                <w:b w:val="0"/>
                <w:i w:val="0"/>
                <w:color w:val="000000"/>
                <w:sz w:val="15"/>
              </w:rPr>
              <w:t>Schedule proportionately without displacing higher-risk work.</w:t>
            </w:r>
          </w:p>
        </w:tc>
      </w:tr>
    </w:tbl>
    <w:p>
      <w:pPr>
        <w:spacing w:after="0"/>
      </w:pPr>
    </w:p>
    <w:p>
      <w:pPr>
        <w:keepNext/>
        <w:spacing w:before="120" w:after="50"/>
      </w:pPr>
      <w:r>
        <w:rPr>
          <w:rFonts w:ascii="Cambria" w:hAnsi="Cambria" w:eastAsia="Cambria"/>
          <w:b/>
          <w:i w:val="0"/>
          <w:color w:val="1F4E79"/>
          <w:sz w:val="24"/>
        </w:rPr>
        <w:t>8. Worker Consultation and Participation</w:t>
      </w:r>
    </w:p>
    <w:p>
      <w:pPr>
        <w:spacing w:after="50" w:line="245" w:lineRule="auto"/>
      </w:pPr>
      <w:r>
        <w:rPr>
          <w:rFonts w:ascii="Cambria" w:hAnsi="Cambria" w:eastAsia="Cambria"/>
          <w:b w:val="0"/>
          <w:i w:val="0"/>
          <w:color w:val="000000"/>
          <w:sz w:val="19"/>
        </w:rPr>
        <w:t>Use worker knowledge to validate how work is actually performed, where hazards occur and whether controls are practical. For gaps that change work methods, controls, PPE, procedures, training or work organization, record appropriate worker consultation or participation in the action plan.</w:t>
      </w:r>
    </w:p>
    <w:p>
      <w:pPr>
        <w:keepNext/>
        <w:spacing w:before="120" w:after="50"/>
      </w:pPr>
      <w:r>
        <w:rPr>
          <w:rFonts w:ascii="Cambria" w:hAnsi="Cambria" w:eastAsia="Cambria"/>
          <w:b/>
          <w:i w:val="0"/>
          <w:color w:val="1F4E79"/>
          <w:sz w:val="24"/>
        </w:rPr>
        <w:t>9. Climate-Related Context</w:t>
      </w:r>
    </w:p>
    <w:p>
      <w:pPr>
        <w:spacing w:after="50" w:line="245" w:lineRule="auto"/>
      </w:pPr>
      <w:r>
        <w:rPr>
          <w:rFonts w:ascii="Cambria" w:hAnsi="Cambria" w:eastAsia="Cambria"/>
          <w:b w:val="0"/>
          <w:i w:val="0"/>
          <w:color w:val="000000"/>
          <w:sz w:val="19"/>
        </w:rPr>
        <w:t>As part of context and interested-party review, consider whether climate change or related stakeholder requirements are relevant to OH&amp;S. Examples may include heat stress, severe weather, flooding, wildfire smoke, disrupted utilities, changed outdoor work conditions or emergency arrangements. Only carry these into the OH&amp;SMS where they are relevant to the organization’s context.</w:t>
      </w:r>
    </w:p>
    <w:p>
      <w:pPr>
        <w:keepNext/>
        <w:spacing w:before="120" w:after="50"/>
      </w:pPr>
      <w:r>
        <w:rPr>
          <w:rFonts w:ascii="Cambria" w:hAnsi="Cambria" w:eastAsia="Cambria"/>
          <w:b/>
          <w:i w:val="0"/>
          <w:color w:val="1F4E79"/>
          <w:sz w:val="24"/>
        </w:rPr>
        <w:t>10. Handover to the Action Plan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26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Field</w:t>
            </w:r>
          </w:p>
        </w:tc>
        <w:tc>
          <w:tcPr>
            <w:tcW w:type="dxa" w:w="70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Minimum Practical Content</w:t>
            </w:r>
          </w:p>
        </w:tc>
      </w:tr>
      <w:tr>
        <w:trPr>
          <w:cantSplit/>
        </w:trPr>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t>Gap ID</w:t>
            </w:r>
          </w:p>
        </w:tc>
        <w:tc>
          <w:tcPr>
            <w:tcW w:type="dxa" w:w="7087"/>
            <w:tcMar>
              <w:top w:w="70" w:type="dxa"/>
              <w:left w:w="80" w:type="dxa"/>
              <w:bottom w:w="70" w:type="dxa"/>
              <w:right w:w="80" w:type="dxa"/>
            </w:tcMar>
          </w:tcPr>
          <w:p>
            <w:pPr>
              <w:spacing w:after="0"/>
              <w:jc w:val="left"/>
            </w:pPr>
            <w:r>
              <w:rPr>
                <w:rFonts w:ascii="Cambria" w:hAnsi="Cambria" w:eastAsia="Cambria"/>
                <w:b w:val="0"/>
                <w:i w:val="0"/>
                <w:color w:val="000000"/>
                <w:sz w:val="16"/>
              </w:rPr>
              <w:t>Unique reference back to the assessment row.</w:t>
            </w:r>
          </w:p>
        </w:tc>
      </w:tr>
      <w:tr>
        <w:trPr>
          <w:cantSplit/>
        </w:trPr>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t>Action</w:t>
            </w:r>
          </w:p>
        </w:tc>
        <w:tc>
          <w:tcPr>
            <w:tcW w:type="dxa" w:w="7087"/>
            <w:tcMar>
              <w:top w:w="70" w:type="dxa"/>
              <w:left w:w="80" w:type="dxa"/>
              <w:bottom w:w="70" w:type="dxa"/>
              <w:right w:w="80" w:type="dxa"/>
            </w:tcMar>
          </w:tcPr>
          <w:p>
            <w:pPr>
              <w:spacing w:after="0"/>
              <w:jc w:val="left"/>
            </w:pPr>
            <w:r>
              <w:rPr>
                <w:rFonts w:ascii="Cambria" w:hAnsi="Cambria" w:eastAsia="Cambria"/>
                <w:b w:val="0"/>
                <w:i w:val="0"/>
                <w:color w:val="000000"/>
                <w:sz w:val="16"/>
              </w:rPr>
              <w:t>Specific remediation activity rather than a vague instruction to “improve”.</w:t>
            </w:r>
          </w:p>
        </w:tc>
      </w:tr>
      <w:tr>
        <w:trPr>
          <w:cantSplit/>
        </w:trPr>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t>Deliverable</w:t>
            </w:r>
          </w:p>
        </w:tc>
        <w:tc>
          <w:tcPr>
            <w:tcW w:type="dxa" w:w="7087"/>
            <w:tcMar>
              <w:top w:w="70" w:type="dxa"/>
              <w:left w:w="80" w:type="dxa"/>
              <w:bottom w:w="70" w:type="dxa"/>
              <w:right w:w="80" w:type="dxa"/>
            </w:tcMar>
          </w:tcPr>
          <w:p>
            <w:pPr>
              <w:spacing w:after="0"/>
              <w:jc w:val="left"/>
            </w:pPr>
            <w:r>
              <w:rPr>
                <w:rFonts w:ascii="Cambria" w:hAnsi="Cambria" w:eastAsia="Cambria"/>
                <w:b w:val="0"/>
                <w:i w:val="0"/>
                <w:color w:val="000000"/>
                <w:sz w:val="16"/>
              </w:rPr>
              <w:t>Observable evidence indicating implementation is complete.</w:t>
            </w:r>
          </w:p>
        </w:tc>
      </w:tr>
      <w:tr>
        <w:trPr>
          <w:cantSplit/>
        </w:trPr>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t>Hazard / Legal / Incident Ref.</w:t>
            </w:r>
          </w:p>
        </w:tc>
        <w:tc>
          <w:tcPr>
            <w:tcW w:type="dxa" w:w="7087"/>
            <w:tcMar>
              <w:top w:w="70" w:type="dxa"/>
              <w:left w:w="80" w:type="dxa"/>
              <w:bottom w:w="70" w:type="dxa"/>
              <w:right w:w="80" w:type="dxa"/>
            </w:tcMar>
          </w:tcPr>
          <w:p>
            <w:pPr>
              <w:spacing w:after="0"/>
              <w:jc w:val="left"/>
            </w:pPr>
            <w:r>
              <w:rPr>
                <w:rFonts w:ascii="Cambria" w:hAnsi="Cambria" w:eastAsia="Cambria"/>
                <w:b w:val="0"/>
                <w:i w:val="0"/>
                <w:color w:val="000000"/>
                <w:sz w:val="16"/>
              </w:rPr>
              <w:t>Related risk, legal obligation or incident reference where useful.</w:t>
            </w:r>
          </w:p>
        </w:tc>
      </w:tr>
      <w:tr>
        <w:trPr>
          <w:cantSplit/>
        </w:trPr>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t>Worker Participation</w:t>
            </w:r>
          </w:p>
        </w:tc>
        <w:tc>
          <w:tcPr>
            <w:tcW w:type="dxa" w:w="7087"/>
            <w:tcMar>
              <w:top w:w="70" w:type="dxa"/>
              <w:left w:w="80" w:type="dxa"/>
              <w:bottom w:w="70" w:type="dxa"/>
              <w:right w:w="80" w:type="dxa"/>
            </w:tcMar>
          </w:tcPr>
          <w:p>
            <w:pPr>
              <w:spacing w:after="0"/>
              <w:jc w:val="left"/>
            </w:pPr>
            <w:r>
              <w:rPr>
                <w:rFonts w:ascii="Cambria" w:hAnsi="Cambria" w:eastAsia="Cambria"/>
                <w:b w:val="0"/>
                <w:i w:val="0"/>
                <w:color w:val="000000"/>
                <w:sz w:val="16"/>
              </w:rPr>
              <w:t>Required consultation/participation for control or work changes.</w:t>
            </w:r>
          </w:p>
        </w:tc>
      </w:tr>
      <w:tr>
        <w:trPr>
          <w:cantSplit/>
        </w:trPr>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t>Verification</w:t>
            </w:r>
          </w:p>
        </w:tc>
        <w:tc>
          <w:tcPr>
            <w:tcW w:type="dxa" w:w="7087"/>
            <w:tcMar>
              <w:top w:w="70" w:type="dxa"/>
              <w:left w:w="80" w:type="dxa"/>
              <w:bottom w:w="70" w:type="dxa"/>
              <w:right w:w="80" w:type="dxa"/>
            </w:tcMar>
          </w:tcPr>
          <w:p>
            <w:pPr>
              <w:spacing w:after="0"/>
              <w:jc w:val="left"/>
            </w:pPr>
            <w:r>
              <w:rPr>
                <w:rFonts w:ascii="Cambria" w:hAnsi="Cambria" w:eastAsia="Cambria"/>
                <w:b w:val="0"/>
                <w:i w:val="0"/>
                <w:color w:val="000000"/>
                <w:sz w:val="16"/>
              </w:rPr>
              <w:t>Evidence that the action is complete and effective before closure.</w:t>
            </w:r>
          </w:p>
        </w:tc>
      </w:tr>
    </w:tbl>
    <w:p>
      <w:pPr>
        <w:spacing w:after="0"/>
      </w:pPr>
    </w:p>
    <w:p>
      <w:pPr>
        <w:keepNext/>
        <w:spacing w:before="120" w:after="50"/>
      </w:pPr>
      <w:r>
        <w:rPr>
          <w:rFonts w:ascii="Cambria" w:hAnsi="Cambria" w:eastAsia="Cambria"/>
          <w:b/>
          <w:i w:val="0"/>
          <w:color w:val="1F4E79"/>
          <w:sz w:val="24"/>
        </w:rPr>
        <w:t>11. Assessor Quality Check</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Every rating is supported by evidence or clearly marked Not Assessed.</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Worker interviews and workplace observation are used for operational topics, not documents alone.</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N/A decisions do not hide applicable hazards or legal duties.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Priorities reflect worker harm/legal exposure rather than document convenience.</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Actions have owners, due dates and clear completion evidence.</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Duplicate gaps and actions are consolidated before management review.</w:t>
      </w:r>
    </w:p>
    <w:p>
      <w:pPr>
        <w:keepNext/>
        <w:spacing w:before="120" w:after="50"/>
      </w:pPr>
      <w:r>
        <w:rPr>
          <w:rFonts w:ascii="Cambria" w:hAnsi="Cambria" w:eastAsia="Cambria"/>
          <w:b/>
          <w:i w:val="0"/>
          <w:color w:val="1F4E79"/>
          <w:sz w:val="24"/>
        </w:rPr>
        <w:t>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Role</w:t>
            </w:r>
          </w:p>
        </w:tc>
        <w:tc>
          <w:tcPr>
            <w:tcW w:type="dxa" w:w="311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Name / Position</w:t>
            </w:r>
          </w:p>
        </w:tc>
        <w:tc>
          <w:tcPr>
            <w:tcW w:type="dxa" w:w="226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Approval / Signature</w:t>
            </w:r>
          </w:p>
        </w:tc>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Date</w:t>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Prepared / Maintained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OH&amp;S Manager / OH&amp;SMS Manager</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Reviewed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[REVIEWER / FUNCTION]</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Approved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Top Management</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bl>
    <w:p>
      <w:pPr>
        <w:spacing w:after="0"/>
      </w:pPr>
    </w:p>
    <w:p>
      <w:pPr>
        <w:keepNext/>
        <w:spacing w:before="60" w:after="5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7"/>
              </w:rPr>
              <w:t>1.0</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7"/>
              </w:rPr>
              <w:t>2026-09-18</w:t>
            </w:r>
          </w:p>
        </w:tc>
        <w:tc>
          <w:tcPr>
            <w:tcW w:type="dxa" w:w="5613"/>
            <w:tcMar>
              <w:top w:w="70" w:type="dxa"/>
              <w:left w:w="80" w:type="dxa"/>
              <w:bottom w:w="70" w:type="dxa"/>
              <w:right w:w="80" w:type="dxa"/>
            </w:tcMar>
          </w:tcPr>
          <w:p>
            <w:pPr>
              <w:spacing w:after="0"/>
              <w:jc w:val="left"/>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134" w:right="1134" w:bottom="1134"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before="0"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8"/>
            </w:rPr>
            <w:t>Health &amp; Safety Gap Analysis Guidance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4"/>
            </w:rPr>
            <w:t>OHSMS-GOV-002</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&amp; Safety Gap Analysis Guidance</dc:title>
  <dc:subject>Practical guidance for planning, conducting and converting an OH&amp;SMS gap analysis into action.</dc:subject>
  <dc:creator>ISO Toolkits</dc:creator>
  <cp:keywords>ISO 45001:2018, Amendment 1:2024, OH&amp;S, OHSMS</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