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40" w:after="40"/>
        <w:jc w:val="center"/>
      </w:pPr>
      <w:r>
        <w:rPr>
          <w:rFonts w:ascii="Cambria" w:hAnsi="Cambria" w:eastAsia="Cambria"/>
          <w:b/>
          <w:i w:val="0"/>
          <w:color w:val="1F4E79"/>
          <w:sz w:val="36"/>
        </w:rPr>
        <w:t>HEALTH &amp; SAFETY AUDIT GUIDANCE</w:t>
      </w:r>
    </w:p>
    <w:p>
      <w:pPr>
        <w:spacing w:after="100"/>
        <w:jc w:val="center"/>
      </w:pPr>
      <w:r>
        <w:rPr>
          <w:rFonts w:ascii="Cambria" w:hAnsi="Cambria" w:eastAsia="Cambria"/>
          <w:b/>
          <w:i w:val="0"/>
          <w:color w:val="000000"/>
          <w:sz w:val="18"/>
        </w:rPr>
        <w:t>ISO 45001:2018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OH&amp;S Manager / OH&amp;SMS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20" w:after="50"/>
      </w:pPr>
      <w:r>
        <w:rPr>
          <w:rFonts w:ascii="Cambria" w:hAnsi="Cambria" w:eastAsia="Cambria"/>
          <w:b/>
          <w:i w:val="0"/>
          <w:color w:val="1F4E79"/>
          <w:sz w:val="24"/>
        </w:rPr>
        <w:t>1. Purpose and Use</w:t>
      </w:r>
    </w:p>
    <w:p>
      <w:pPr>
        <w:spacing w:after="50" w:line="245" w:lineRule="auto"/>
      </w:pPr>
      <w:r>
        <w:rPr>
          <w:rFonts w:ascii="Cambria" w:hAnsi="Cambria" w:eastAsia="Cambria"/>
          <w:b w:val="0"/>
          <w:i w:val="0"/>
          <w:color w:val="000000"/>
          <w:sz w:val="19"/>
        </w:rPr>
        <w:t>Use this guidance with the Internal Health &amp; Safety Audit Procedure, Audit Checklist and Audit Report. It focuses on practical audit planning, worker engagement, workplace evidence, sampling, finding quality and follow-up rather than repeating audit theory.</w:t>
      </w:r>
    </w:p>
    <w:p>
      <w:pPr>
        <w:keepNext/>
        <w:spacing w:before="120" w:after="50"/>
      </w:pPr>
      <w:r>
        <w:rPr>
          <w:rFonts w:ascii="Cambria" w:hAnsi="Cambria" w:eastAsia="Cambria"/>
          <w:b/>
          <w:i w:val="0"/>
          <w:color w:val="1F4E79"/>
          <w:sz w:val="24"/>
        </w:rPr>
        <w:t>2. Audit Principles in Practice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60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Principle</w:t>
            </w:r>
          </w:p>
        </w:tc>
        <w:tc>
          <w:tcPr>
            <w:tcW w:type="dxa" w:w="674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Practical Application</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Integrity</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Report what evidence supports; do not soften or exaggerate findings.</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Fair presentation</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Include significant strengths, limitations and disagreements as well as findings.</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Due professional care</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Apply judgement proportionate to OH&amp;S risk and the evidence available.</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Confidentiality</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Protect personal, medical, incident and other sensitive information.</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Independence / objectivity</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Avoid auditing your own work where this would compromise impartiality.</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Evidence-based approach</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Base conclusions on verifiable samples rather than assumptions or document presence alone.</w:t>
            </w:r>
          </w:p>
        </w:tc>
      </w:tr>
      <w:tr>
        <w:trPr>
          <w:cantSplit/>
        </w:trPr>
        <w:tc>
          <w:tcPr>
            <w:tcW w:type="dxa" w:w="2608"/>
            <w:tcMar>
              <w:top w:w="70" w:type="dxa"/>
              <w:left w:w="80" w:type="dxa"/>
              <w:bottom w:w="70" w:type="dxa"/>
              <w:right w:w="80" w:type="dxa"/>
            </w:tcMar>
          </w:tcPr>
          <w:p>
            <w:pPr>
              <w:spacing w:after="0"/>
              <w:jc w:val="left"/>
            </w:pPr>
            <w:r>
              <w:rPr>
                <w:rFonts w:ascii="Cambria" w:hAnsi="Cambria" w:eastAsia="Cambria"/>
                <w:b w:val="0"/>
                <w:i w:val="0"/>
                <w:color w:val="000000"/>
                <w:sz w:val="15"/>
              </w:rPr>
              <w:t>Risk-based approach</w:t>
            </w:r>
          </w:p>
        </w:tc>
        <w:tc>
          <w:tcPr>
            <w:tcW w:type="dxa" w:w="6746"/>
            <w:tcMar>
              <w:top w:w="70" w:type="dxa"/>
              <w:left w:w="80" w:type="dxa"/>
              <w:bottom w:w="70" w:type="dxa"/>
              <w:right w:w="80" w:type="dxa"/>
            </w:tcMar>
          </w:tcPr>
          <w:p>
            <w:pPr>
              <w:spacing w:after="0"/>
              <w:jc w:val="left"/>
            </w:pPr>
            <w:r>
              <w:rPr>
                <w:rFonts w:ascii="Cambria" w:hAnsi="Cambria" w:eastAsia="Cambria"/>
                <w:b w:val="0"/>
                <w:i w:val="0"/>
                <w:color w:val="000000"/>
                <w:sz w:val="15"/>
              </w:rPr>
              <w:t>Focus audit effort where hazards, exposure, legal significance, change or uncertainty are greatest.</w:t>
            </w:r>
          </w:p>
        </w:tc>
      </w:tr>
    </w:tbl>
    <w:p>
      <w:pPr>
        <w:spacing w:after="0"/>
      </w:pPr>
    </w:p>
    <w:p>
      <w:pPr>
        <w:keepNext/>
        <w:spacing w:before="120" w:after="50"/>
      </w:pPr>
      <w:r>
        <w:rPr>
          <w:rFonts w:ascii="Cambria" w:hAnsi="Cambria" w:eastAsia="Cambria"/>
          <w:b/>
          <w:i w:val="0"/>
          <w:color w:val="1F4E79"/>
          <w:sz w:val="24"/>
        </w:rPr>
        <w:t>3. Before the Audit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Review the OH&amp;SMS scope, significant hazards, legal requirements, incidents, worker concerns, objectives, changes and previous audit results.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Identify high-risk work, shifts, contractors, non-routine activities and worker groups that should be sampled.</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Confirm required site induction, PPE, permits, escort or specialist support.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Plan worker interviews so employees can speak without unnecessary management influence where practical.</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Define how immediate danger or potential legal breach will be escalated during the audit.</w:t>
      </w:r>
    </w:p>
    <w:p>
      <w:pPr>
        <w:keepNext/>
        <w:spacing w:before="120" w:after="50"/>
      </w:pPr>
      <w:r>
        <w:rPr>
          <w:rFonts w:ascii="Cambria" w:hAnsi="Cambria" w:eastAsia="Cambria"/>
          <w:b/>
          <w:i w:val="0"/>
          <w:color w:val="1F4E79"/>
          <w:sz w:val="24"/>
        </w:rPr>
        <w:t>4. Build Audit Trails - Do Not Audit in Silos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Audit Trail</w:t>
            </w:r>
          </w:p>
        </w:tc>
        <w:tc>
          <w:tcPr>
            <w:tcW w:type="dxa" w:w="680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Example Trace</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Hazard to control</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Hazard identification → risk rating → hierarchy decision → operational control → worker understanding → inspection / monitoring.</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Incident to improvement</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Incident → immediate response → investigation → cause → risk update → corrective action → effectiveness review.</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Legal requirement to compliance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Requirement → owner / applicability → operational control → evidence → compliance evaluation → action.</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Objective to performance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Objective → baseline / target → action plan → data → management decision → improvement.</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Contractor risk</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Prequalification → contract / site rules → interface risk assessment → supervision / permit → performance review.</w:t>
            </w:r>
          </w:p>
        </w:tc>
      </w:tr>
    </w:tbl>
    <w:p>
      <w:pPr>
        <w:spacing w:after="0"/>
      </w:pPr>
    </w:p>
    <w:p>
      <w:pPr>
        <w:keepNext/>
        <w:spacing w:before="120" w:after="50"/>
      </w:pPr>
      <w:r>
        <w:rPr>
          <w:rFonts w:ascii="Cambria" w:hAnsi="Cambria" w:eastAsia="Cambria"/>
          <w:b/>
          <w:i w:val="0"/>
          <w:color w:val="1F4E79"/>
          <w:sz w:val="24"/>
        </w:rPr>
        <w:t>5. Interviewing Workers and Managers</w:t>
      </w:r>
    </w:p>
    <w:p>
      <w:pPr>
        <w:spacing w:after="50" w:line="245" w:lineRule="auto"/>
      </w:pPr>
      <w:r>
        <w:rPr>
          <w:rFonts w:ascii="Cambria" w:hAnsi="Cambria" w:eastAsia="Cambria"/>
          <w:b w:val="0"/>
          <w:i w:val="0"/>
          <w:color w:val="000000"/>
          <w:sz w:val="19"/>
        </w:rPr>
        <w:t>Use open questions such as “show me how this task is normally done”, “what can go wrong?”, “what happens if the job changes?”, or “how do you report a hazard?”. Compare answers with actual conditions and records. Avoid turning the interview into a test of standard clause numbers.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969"/>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Good Question</w:t>
            </w:r>
          </w:p>
        </w:tc>
        <w:tc>
          <w:tcPr>
            <w:tcW w:type="dxa" w:w="538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What It Can Reveal</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“What is the most serious thing that can hurt someone in this task?”</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Actual hazard awareness and risk priorities.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“What do you do when the normal method cannot be followed?”</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Deviation, stop-work and escalation arrangements.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“What changed recently?”</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Management-of-change effectiveness and emerging hazards.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“What happened after the last incident / near miss?”</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Learning, communication and corrective-action effectiveness.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“How were you involved in this risk assessment or control change?”</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Quality of consultation and participation.</w:t>
            </w:r>
          </w:p>
        </w:tc>
      </w:tr>
    </w:tbl>
    <w:p>
      <w:pPr>
        <w:spacing w:after="0"/>
      </w:pPr>
    </w:p>
    <w:p>
      <w:pPr>
        <w:keepNext/>
        <w:spacing w:before="120" w:after="50"/>
      </w:pPr>
      <w:r>
        <w:rPr>
          <w:rFonts w:ascii="Cambria" w:hAnsi="Cambria" w:eastAsia="Cambria"/>
          <w:b/>
          <w:i w:val="0"/>
          <w:color w:val="1F4E79"/>
          <w:sz w:val="24"/>
        </w:rPr>
        <w:t>6. Workplace Observation</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Observe normal work where possible, not only a staged demonstration.</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Look for the difference between written controls and actual workarounds.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Sample interfaces: people/equipment, contractor/host, pedestrian/vehicle, shift handover and maintenance/operations.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Use photographs only where authorized and ensure personal/sensitive information is handled appropriately.</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If an immediate serious danger is observed, prioritize safety response over audit evidence collection.</w:t>
      </w:r>
    </w:p>
    <w:p>
      <w:pPr>
        <w:keepNext/>
        <w:spacing w:before="120" w:after="50"/>
      </w:pPr>
      <w:r>
        <w:rPr>
          <w:rFonts w:ascii="Cambria" w:hAnsi="Cambria" w:eastAsia="Cambria"/>
          <w:b/>
          <w:i w:val="0"/>
          <w:color w:val="1F4E79"/>
          <w:sz w:val="24"/>
        </w:rPr>
        <w:t>7. Risk-Based Sampling</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969"/>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Increase Sample Depth When</w:t>
            </w:r>
          </w:p>
        </w:tc>
        <w:tc>
          <w:tcPr>
            <w:tcW w:type="dxa" w:w="538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Practical Response</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Potential harm is severe or multiple workers are exposed.</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Sample more workers, shifts, tasks and recent records.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Control relies heavily on human behavior or administrative steps.</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Observe actual execution and interview workers.</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Recent incident / change occurred.</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Trace the event/change through risk review, control updates and communication.</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Prior finding or recurring issue exists.</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Verify sustained effectiveness, not only documented closure.</w:t>
            </w:r>
          </w:p>
        </w:tc>
      </w:tr>
      <w:tr>
        <w:trPr>
          <w:cantSplit/>
        </w:trPr>
        <w:tc>
          <w:tcPr>
            <w:tcW w:type="dxa" w:w="3969"/>
            <w:tcMar>
              <w:top w:w="70" w:type="dxa"/>
              <w:left w:w="80" w:type="dxa"/>
              <w:bottom w:w="70" w:type="dxa"/>
              <w:right w:w="80" w:type="dxa"/>
            </w:tcMar>
          </w:tcPr>
          <w:p>
            <w:pPr>
              <w:spacing w:after="0"/>
              <w:jc w:val="left"/>
            </w:pPr>
            <w:r>
              <w:rPr>
                <w:rFonts w:ascii="Cambria" w:hAnsi="Cambria" w:eastAsia="Cambria"/>
                <w:b w:val="0"/>
                <w:i w:val="0"/>
                <w:color w:val="000000"/>
                <w:sz w:val="15"/>
              </w:rPr>
              <w:t>Legal duty or permit condition is critical.</w:t>
            </w:r>
          </w:p>
        </w:tc>
        <w:tc>
          <w:tcPr>
            <w:tcW w:type="dxa" w:w="5386"/>
            <w:tcMar>
              <w:top w:w="70" w:type="dxa"/>
              <w:left w:w="80" w:type="dxa"/>
              <w:bottom w:w="70" w:type="dxa"/>
              <w:right w:w="80" w:type="dxa"/>
            </w:tcMar>
          </w:tcPr>
          <w:p>
            <w:pPr>
              <w:spacing w:after="0"/>
              <w:jc w:val="left"/>
            </w:pPr>
            <w:r>
              <w:rPr>
                <w:rFonts w:ascii="Cambria" w:hAnsi="Cambria" w:eastAsia="Cambria"/>
                <w:b w:val="0"/>
                <w:i w:val="0"/>
                <w:color w:val="000000"/>
                <w:sz w:val="15"/>
              </w:rPr>
              <w:t>Check exact applicability and objective compliance evidence.</w:t>
            </w:r>
          </w:p>
        </w:tc>
      </w:tr>
    </w:tbl>
    <w:p>
      <w:pPr>
        <w:spacing w:after="0"/>
      </w:pPr>
    </w:p>
    <w:p>
      <w:pPr>
        <w:keepNext/>
        <w:spacing w:before="120" w:after="50"/>
      </w:pPr>
      <w:r>
        <w:rPr>
          <w:rFonts w:ascii="Cambria" w:hAnsi="Cambria" w:eastAsia="Cambria"/>
          <w:b/>
          <w:i w:val="0"/>
          <w:color w:val="1F4E79"/>
          <w:sz w:val="24"/>
        </w:rPr>
        <w:t>8. Evaluating the Hierarchy of Controls</w:t>
      </w:r>
    </w:p>
    <w:p>
      <w:pPr>
        <w:spacing w:after="50" w:line="245" w:lineRule="auto"/>
      </w:pPr>
      <w:r>
        <w:rPr>
          <w:rFonts w:ascii="Cambria" w:hAnsi="Cambria" w:eastAsia="Cambria"/>
          <w:b w:val="0"/>
          <w:i w:val="0"/>
          <w:color w:val="000000"/>
          <w:sz w:val="19"/>
        </w:rPr>
        <w:t>Do not treat PPE and procedures as equivalent to higher-order controls. When a significant hazard is controlled mainly through behavior, warning, training or PPE, ask whether elimination, substitution or engineering options were reasonably considered and whether residual exposure is acceptable under the organization’s risk method.</w:t>
      </w:r>
    </w:p>
    <w:p>
      <w:pPr>
        <w:keepNext/>
        <w:spacing w:before="120" w:after="50"/>
      </w:pPr>
      <w:r>
        <w:rPr>
          <w:rFonts w:ascii="Cambria" w:hAnsi="Cambria" w:eastAsia="Cambria"/>
          <w:b/>
          <w:i w:val="0"/>
          <w:color w:val="1F4E79"/>
          <w:sz w:val="24"/>
        </w:rPr>
        <w:t>9. Writing Findings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Element</w:t>
            </w:r>
          </w:p>
        </w:tc>
        <w:tc>
          <w:tcPr>
            <w:tcW w:type="dxa" w:w="680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What to Record</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Criterion</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The applicable ISO 45001, internal or legal/other requirement.</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Evidence</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Specific observation, interview, record or sample supporting the conclusion.</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Gap</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What requirement was not fulfilled or what improvement opportunity exists.</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OH&amp;S severity / urgency</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Potential worker impact and need for immediate control or escalation.</w:t>
            </w:r>
          </w:p>
        </w:tc>
      </w:tr>
      <w:tr>
        <w:trPr>
          <w:cantSplit/>
        </w:trPr>
        <w:tc>
          <w:tcPr>
            <w:tcW w:type="dxa" w:w="2551"/>
            <w:tcMar>
              <w:top w:w="70" w:type="dxa"/>
              <w:left w:w="80" w:type="dxa"/>
              <w:bottom w:w="70" w:type="dxa"/>
              <w:right w:w="80" w:type="dxa"/>
            </w:tcMar>
          </w:tcPr>
          <w:p>
            <w:pPr>
              <w:spacing w:after="0"/>
              <w:jc w:val="left"/>
            </w:pPr>
            <w:r>
              <w:rPr>
                <w:rFonts w:ascii="Cambria" w:hAnsi="Cambria" w:eastAsia="Cambria"/>
                <w:b w:val="0"/>
                <w:i w:val="0"/>
                <w:color w:val="000000"/>
                <w:sz w:val="15"/>
              </w:rPr>
              <w:t>Owner / follow-up</w:t>
            </w:r>
          </w:p>
        </w:tc>
        <w:tc>
          <w:tcPr>
            <w:tcW w:type="dxa" w:w="6803"/>
            <w:tcMar>
              <w:top w:w="70" w:type="dxa"/>
              <w:left w:w="80" w:type="dxa"/>
              <w:bottom w:w="70" w:type="dxa"/>
              <w:right w:w="80" w:type="dxa"/>
            </w:tcMar>
          </w:tcPr>
          <w:p>
            <w:pPr>
              <w:spacing w:after="0"/>
              <w:jc w:val="left"/>
            </w:pPr>
            <w:r>
              <w:rPr>
                <w:rFonts w:ascii="Cambria" w:hAnsi="Cambria" w:eastAsia="Cambria"/>
                <w:b w:val="0"/>
                <w:i w:val="0"/>
                <w:color w:val="000000"/>
                <w:sz w:val="15"/>
              </w:rPr>
              <w:t>Who must act and what evidence is expected for closure.</w:t>
            </w:r>
          </w:p>
        </w:tc>
      </w:tr>
    </w:tbl>
    <w:p>
      <w:pPr>
        <w:spacing w:after="0"/>
      </w:pPr>
    </w:p>
    <w:p>
      <w:pPr>
        <w:keepNext/>
        <w:spacing w:before="120" w:after="50"/>
      </w:pPr>
      <w:r>
        <w:rPr>
          <w:rFonts w:ascii="Cambria" w:hAnsi="Cambria" w:eastAsia="Cambria"/>
          <w:b/>
          <w:i w:val="0"/>
          <w:color w:val="1F4E79"/>
          <w:sz w:val="24"/>
        </w:rPr>
        <w:t>10. Common Finding Errors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28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Weak Approach</w:t>
            </w:r>
          </w:p>
        </w:tc>
        <w:tc>
          <w:tcPr>
            <w:tcW w:type="dxa" w:w="606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Better Practice</w:t>
            </w:r>
          </w:p>
        </w:tc>
      </w:tr>
      <w:tr>
        <w:trPr>
          <w:cantSplit/>
        </w:trPr>
        <w:tc>
          <w:tcPr>
            <w:tcW w:type="dxa" w:w="3288"/>
            <w:tcMar>
              <w:top w:w="70" w:type="dxa"/>
              <w:left w:w="80" w:type="dxa"/>
              <w:bottom w:w="70" w:type="dxa"/>
              <w:right w:w="80" w:type="dxa"/>
            </w:tcMar>
          </w:tcPr>
          <w:p>
            <w:pPr>
              <w:spacing w:after="0"/>
              <w:jc w:val="left"/>
            </w:pPr>
            <w:r>
              <w:rPr>
                <w:rFonts w:ascii="Cambria" w:hAnsi="Cambria" w:eastAsia="Cambria"/>
                <w:b w:val="0"/>
                <w:i w:val="0"/>
                <w:color w:val="000000"/>
                <w:sz w:val="15"/>
              </w:rPr>
              <w:t>“Worker was careless.”</w:t>
            </w:r>
          </w:p>
        </w:tc>
        <w:tc>
          <w:tcPr>
            <w:tcW w:type="dxa" w:w="6066"/>
            <w:tcMar>
              <w:top w:w="70" w:type="dxa"/>
              <w:left w:w="80" w:type="dxa"/>
              <w:bottom w:w="70" w:type="dxa"/>
              <w:right w:w="80" w:type="dxa"/>
            </w:tcMar>
          </w:tcPr>
          <w:p>
            <w:pPr>
              <w:spacing w:after="0"/>
              <w:jc w:val="left"/>
            </w:pPr>
            <w:r>
              <w:rPr>
                <w:rFonts w:ascii="Cambria" w:hAnsi="Cambria" w:eastAsia="Cambria"/>
                <w:b w:val="0"/>
                <w:i w:val="0"/>
                <w:color w:val="000000"/>
                <w:sz w:val="15"/>
              </w:rPr>
              <w:t>Examine work design, supervision, competence, fatigue, equipment, procedures and barriers before attributing cause.</w:t>
            </w:r>
          </w:p>
        </w:tc>
      </w:tr>
      <w:tr>
        <w:trPr>
          <w:cantSplit/>
        </w:trPr>
        <w:tc>
          <w:tcPr>
            <w:tcW w:type="dxa" w:w="3288"/>
            <w:tcMar>
              <w:top w:w="70" w:type="dxa"/>
              <w:left w:w="80" w:type="dxa"/>
              <w:bottom w:w="70" w:type="dxa"/>
              <w:right w:w="80" w:type="dxa"/>
            </w:tcMar>
          </w:tcPr>
          <w:p>
            <w:pPr>
              <w:spacing w:after="0"/>
              <w:jc w:val="left"/>
            </w:pPr>
            <w:r>
              <w:rPr>
                <w:rFonts w:ascii="Cambria" w:hAnsi="Cambria" w:eastAsia="Cambria"/>
                <w:b w:val="0"/>
                <w:i w:val="0"/>
                <w:color w:val="000000"/>
                <w:sz w:val="15"/>
              </w:rPr>
              <w:t>“Procedure missing” automatically becomes a major finding.</w:t>
            </w:r>
          </w:p>
        </w:tc>
        <w:tc>
          <w:tcPr>
            <w:tcW w:type="dxa" w:w="6066"/>
            <w:tcMar>
              <w:top w:w="70" w:type="dxa"/>
              <w:left w:w="80" w:type="dxa"/>
              <w:bottom w:w="70" w:type="dxa"/>
              <w:right w:w="80" w:type="dxa"/>
            </w:tcMar>
          </w:tcPr>
          <w:p>
            <w:pPr>
              <w:spacing w:after="0"/>
              <w:jc w:val="left"/>
            </w:pPr>
            <w:r>
              <w:rPr>
                <w:rFonts w:ascii="Cambria" w:hAnsi="Cambria" w:eastAsia="Cambria"/>
                <w:b w:val="0"/>
                <w:i w:val="0"/>
                <w:color w:val="000000"/>
                <w:sz w:val="15"/>
              </w:rPr>
              <w:t>Evaluate the applicable requirement, risk and system impact before classification.</w:t>
            </w:r>
          </w:p>
        </w:tc>
      </w:tr>
      <w:tr>
        <w:trPr>
          <w:cantSplit/>
        </w:trPr>
        <w:tc>
          <w:tcPr>
            <w:tcW w:type="dxa" w:w="3288"/>
            <w:tcMar>
              <w:top w:w="70" w:type="dxa"/>
              <w:left w:w="80" w:type="dxa"/>
              <w:bottom w:w="70" w:type="dxa"/>
              <w:right w:w="80" w:type="dxa"/>
            </w:tcMar>
          </w:tcPr>
          <w:p>
            <w:pPr>
              <w:spacing w:after="0"/>
              <w:jc w:val="left"/>
            </w:pPr>
            <w:r>
              <w:rPr>
                <w:rFonts w:ascii="Cambria" w:hAnsi="Cambria" w:eastAsia="Cambria"/>
                <w:b w:val="0"/>
                <w:i w:val="0"/>
                <w:color w:val="000000"/>
                <w:sz w:val="15"/>
              </w:rPr>
              <w:t>Only document samples are reviewed.</w:t>
            </w:r>
          </w:p>
        </w:tc>
        <w:tc>
          <w:tcPr>
            <w:tcW w:type="dxa" w:w="6066"/>
            <w:tcMar>
              <w:top w:w="70" w:type="dxa"/>
              <w:left w:w="80" w:type="dxa"/>
              <w:bottom w:w="70" w:type="dxa"/>
              <w:right w:w="80" w:type="dxa"/>
            </w:tcMar>
          </w:tcPr>
          <w:p>
            <w:pPr>
              <w:spacing w:after="0"/>
              <w:jc w:val="left"/>
            </w:pPr>
            <w:r>
              <w:rPr>
                <w:rFonts w:ascii="Cambria" w:hAnsi="Cambria" w:eastAsia="Cambria"/>
                <w:b w:val="0"/>
                <w:i w:val="0"/>
                <w:color w:val="000000"/>
                <w:sz w:val="15"/>
              </w:rPr>
              <w:t>Combine records with worker interview and workplace observation for operational topics.</w:t>
            </w:r>
          </w:p>
        </w:tc>
      </w:tr>
      <w:tr>
        <w:trPr>
          <w:cantSplit/>
        </w:trPr>
        <w:tc>
          <w:tcPr>
            <w:tcW w:type="dxa" w:w="3288"/>
            <w:tcMar>
              <w:top w:w="70" w:type="dxa"/>
              <w:left w:w="80" w:type="dxa"/>
              <w:bottom w:w="70" w:type="dxa"/>
              <w:right w:w="80" w:type="dxa"/>
            </w:tcMar>
          </w:tcPr>
          <w:p>
            <w:pPr>
              <w:spacing w:after="0"/>
              <w:jc w:val="left"/>
            </w:pPr>
            <w:r>
              <w:rPr>
                <w:rFonts w:ascii="Cambria" w:hAnsi="Cambria" w:eastAsia="Cambria"/>
                <w:b w:val="0"/>
                <w:i w:val="0"/>
                <w:color w:val="000000"/>
                <w:sz w:val="15"/>
              </w:rPr>
              <w:t>Finding contains a solution chosen by the auditor.</w:t>
            </w:r>
          </w:p>
        </w:tc>
        <w:tc>
          <w:tcPr>
            <w:tcW w:type="dxa" w:w="6066"/>
            <w:tcMar>
              <w:top w:w="70" w:type="dxa"/>
              <w:left w:w="80" w:type="dxa"/>
              <w:bottom w:w="70" w:type="dxa"/>
              <w:right w:w="80" w:type="dxa"/>
            </w:tcMar>
          </w:tcPr>
          <w:p>
            <w:pPr>
              <w:spacing w:after="0"/>
              <w:jc w:val="left"/>
            </w:pPr>
            <w:r>
              <w:rPr>
                <w:rFonts w:ascii="Cambria" w:hAnsi="Cambria" w:eastAsia="Cambria"/>
                <w:b w:val="0"/>
                <w:i w:val="0"/>
                <w:color w:val="000000"/>
                <w:sz w:val="15"/>
              </w:rPr>
              <w:t>State the criterion/evidence/gap; management owns the corrective-action solution.</w:t>
            </w:r>
          </w:p>
        </w:tc>
      </w:tr>
      <w:tr>
        <w:trPr>
          <w:cantSplit/>
        </w:trPr>
        <w:tc>
          <w:tcPr>
            <w:tcW w:type="dxa" w:w="3288"/>
            <w:tcMar>
              <w:top w:w="70" w:type="dxa"/>
              <w:left w:w="80" w:type="dxa"/>
              <w:bottom w:w="70" w:type="dxa"/>
              <w:right w:w="80" w:type="dxa"/>
            </w:tcMar>
          </w:tcPr>
          <w:p>
            <w:pPr>
              <w:spacing w:after="0"/>
              <w:jc w:val="left"/>
            </w:pPr>
            <w:r>
              <w:rPr>
                <w:rFonts w:ascii="Cambria" w:hAnsi="Cambria" w:eastAsia="Cambria"/>
                <w:b w:val="0"/>
                <w:i w:val="0"/>
                <w:color w:val="000000"/>
                <w:sz w:val="15"/>
              </w:rPr>
              <w:t>Action is closed because a document was issued.</w:t>
            </w:r>
          </w:p>
        </w:tc>
        <w:tc>
          <w:tcPr>
            <w:tcW w:type="dxa" w:w="6066"/>
            <w:tcMar>
              <w:top w:w="70" w:type="dxa"/>
              <w:left w:w="80" w:type="dxa"/>
              <w:bottom w:w="70" w:type="dxa"/>
              <w:right w:w="80" w:type="dxa"/>
            </w:tcMar>
          </w:tcPr>
          <w:p>
            <w:pPr>
              <w:spacing w:after="0"/>
              <w:jc w:val="left"/>
            </w:pPr>
            <w:r>
              <w:rPr>
                <w:rFonts w:ascii="Cambria" w:hAnsi="Cambria" w:eastAsia="Cambria"/>
                <w:b w:val="0"/>
                <w:i w:val="0"/>
                <w:color w:val="000000"/>
                <w:sz w:val="15"/>
              </w:rPr>
              <w:t>Verify control implementation and effectiveness where appropriate.</w:t>
            </w:r>
          </w:p>
        </w:tc>
      </w:tr>
    </w:tbl>
    <w:p>
      <w:pPr>
        <w:spacing w:after="0"/>
      </w:pPr>
    </w:p>
    <w:p>
      <w:pPr>
        <w:keepNext/>
        <w:spacing w:before="120" w:after="50"/>
      </w:pPr>
      <w:r>
        <w:rPr>
          <w:rFonts w:ascii="Cambria" w:hAnsi="Cambria" w:eastAsia="Cambria"/>
          <w:b/>
          <w:i w:val="0"/>
          <w:color w:val="1F4E79"/>
          <w:sz w:val="24"/>
        </w:rPr>
        <w:t>11. Follow-up and Effectiveness</w:t>
      </w:r>
    </w:p>
    <w:p>
      <w:pPr>
        <w:spacing w:after="50" w:line="245" w:lineRule="auto"/>
      </w:pPr>
      <w:r>
        <w:rPr>
          <w:rFonts w:ascii="Cambria" w:hAnsi="Cambria" w:eastAsia="Cambria"/>
          <w:b w:val="0"/>
          <w:i w:val="0"/>
          <w:color w:val="000000"/>
          <w:sz w:val="19"/>
        </w:rPr>
        <w:t>Closure evidence should match the significance of the issue. For simple administrative gaps, document evidence may be enough. For serious or recurring control failures, verify implementation through worker interviews, observation, sampling or performance data after an appropriate operating period.</w:t>
      </w:r>
    </w:p>
    <w:p>
      <w:pPr>
        <w:keepNext/>
        <w:spacing w:before="120" w:after="50"/>
      </w:pPr>
      <w:r>
        <w:rPr>
          <w:rFonts w:ascii="Cambria" w:hAnsi="Cambria" w:eastAsia="Cambria"/>
          <w:b/>
          <w:i w:val="0"/>
          <w:color w:val="1F4E79"/>
          <w:sz w:val="24"/>
        </w:rPr>
        <w:t>12. Audit Team Quick Check</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Audit plan reflects OH&amp;S risk, change, incidents, legal significance and prior results.</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Worker participation/consultation is sampled where relevant.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Auditors comply with site safety rules and do not create additional risk.</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Every finding contains criterion, evidence and a clear gap.</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Immediate/serious risk is escalated during the audit, not hidden in the report.</w:t>
      </w:r>
    </w:p>
    <w:p>
      <w:pPr>
        <w:spacing w:after="24"/>
        <w:ind w:left="283" w:hanging="170"/>
      </w:pPr>
      <w:r>
        <w:rPr>
          <w:rFonts w:ascii="Cambria" w:hAnsi="Cambria" w:eastAsia="Cambria"/>
          <w:b/>
          <w:i w:val="0"/>
          <w:color w:val="1F4E79"/>
          <w:sz w:val="18"/>
        </w:rPr>
        <w:t xml:space="preserve">• </w:t>
      </w:r>
      <w:r>
        <w:rPr>
          <w:rFonts w:ascii="Cambria" w:hAnsi="Cambria" w:eastAsia="Cambria"/>
          <w:b w:val="0"/>
          <w:i w:val="0"/>
          <w:color w:val="000000"/>
          <w:sz w:val="18"/>
        </w:rPr>
        <w:t>Report limitations are transparent and follow-up responsibility is assigned.</w:t>
      </w:r>
    </w:p>
    <w:p>
      <w:pPr>
        <w:keepNext/>
        <w:spacing w:before="120" w:after="50"/>
      </w:pPr>
      <w:r>
        <w:rPr>
          <w:rFonts w:ascii="Cambria" w:hAnsi="Cambria" w:eastAsia="Cambria"/>
          <w:b/>
          <w:i w:val="0"/>
          <w:color w:val="1F4E79"/>
          <w:sz w:val="24"/>
        </w:rPr>
        <w:t>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Name / Position</w:t>
            </w:r>
          </w:p>
        </w:tc>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Approval / Signature</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Date</w:t>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Prepared / Maintained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OH&amp;S Manager / OH&amp;SMS Manager</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Reviewed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[REVIEWER / FUNCTION]</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Approved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bl>
    <w:p>
      <w:pPr>
        <w:spacing w:after="0"/>
      </w:pPr>
    </w:p>
    <w:p>
      <w:pPr>
        <w:keepNext/>
        <w:spacing w:before="60" w:after="5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7"/>
              </w:rPr>
              <w:t>1.0</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7"/>
              </w:rPr>
              <w:t>2026-09-18</w:t>
            </w:r>
          </w:p>
        </w:tc>
        <w:tc>
          <w:tcPr>
            <w:tcW w:type="dxa" w:w="5613"/>
            <w:tcMar>
              <w:top w:w="70" w:type="dxa"/>
              <w:left w:w="80" w:type="dxa"/>
              <w:bottom w:w="70" w:type="dxa"/>
              <w:right w:w="80" w:type="dxa"/>
            </w:tcMar>
          </w:tcPr>
          <w:p>
            <w:pPr>
              <w:spacing w:after="0"/>
              <w:jc w:val="left"/>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134" w:right="1134" w:bottom="1134"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before="0"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8"/>
            </w:rPr>
            <w:t>Health &amp; Safety Audit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4"/>
            </w:rPr>
            <w:t>OHSMS-GOV-004</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&amp; Safety Audit Guidance</dc:title>
  <dc:subject>Practical guidance for risk-based internal OH&amp;SMS auditing and evidence-based findings.</dc:subject>
  <dc:creator>ISO Toolkits</dc:creator>
  <cp:keywords>ISO 45001:2018, Amendment 1:2024, OH&amp;S, OHSMS</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