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pStyle w:val="Title"/>
        <w:spacing w:after="60"/>
        <w:jc w:val="center"/>
      </w:pPr>
      <w:r>
        <w:rPr>
          <w:rFonts w:ascii="Cambria" w:hAnsi="Cambria"/>
          <w:b/>
          <w:i w:val="0"/>
          <w:color w:val="1F4E79"/>
          <w:sz w:val="40"/>
        </w:rPr>
        <w:t>Food Safety Management System Guidance</w:t>
      </w:r>
    </w:p>
    <w:p>
      <w:pPr>
        <w:spacing w:after="200"/>
        <w:jc w:val="center"/>
      </w:pPr>
      <w:r>
        <w:rPr>
          <w:rFonts w:ascii="Cambria" w:hAnsi="Cambria"/>
          <w:b/>
          <w:i w:val="0"/>
          <w:color w:val="1F4E79"/>
          <w:sz w:val="21"/>
        </w:rPr>
        <w:t>ISO 22000 FOOD SAFETY MANAGEMENT SYSTEM</w:t>
      </w:r>
    </w:p>
    <w:tbl>
      <w:tblPr>
        <w:tblStyle w:val="TableGrid"/>
        <w:tblW w:type="auto" w:w="0"/>
        <w:jc w:val="center"/>
        <w:tblLayout w:type="fixed"/>
        <w:tblLook w:val="04A0"/>
      </w:tblPr>
      <w:tblGrid>
        <w:gridCol w:w="4677"/>
        <w:gridCol w:w="4677"/>
      </w:tblGrid>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Code</w:t>
            </w:r>
          </w:p>
        </w:tc>
        <w:tc>
          <w:tcPr>
            <w:tcW w:type="dxa" w:w="6768"/>
            <w:vAlign w:val="center"/>
          </w:tcPr>
          <w:p>
            <w:pPr>
              <w:spacing w:after="0" w:before="0" w:line="240" w:lineRule="auto"/>
              <w:jc w:val="left"/>
            </w:pPr>
            <w:r/>
            <w:r>
              <w:rPr>
                <w:rFonts w:ascii="Cambria" w:hAnsi="Cambria"/>
                <w:b w:val="0"/>
                <w:i w:val="0"/>
                <w:color w:val="000000"/>
                <w:sz w:val="18"/>
              </w:rPr>
              <w:t>FSMS-GUI-003</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Type</w:t>
            </w:r>
          </w:p>
        </w:tc>
        <w:tc>
          <w:tcPr>
            <w:tcW w:type="dxa" w:w="6768"/>
            <w:vAlign w:val="center"/>
          </w:tcPr>
          <w:p>
            <w:pPr>
              <w:spacing w:after="0" w:before="0" w:line="240" w:lineRule="auto"/>
              <w:jc w:val="left"/>
            </w:pPr>
            <w:r/>
            <w:r>
              <w:rPr>
                <w:rFonts w:ascii="Cambria" w:hAnsi="Cambria"/>
                <w:b w:val="0"/>
                <w:i w:val="0"/>
                <w:color w:val="000000"/>
                <w:sz w:val="18"/>
              </w:rPr>
              <w:t>Guidance</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Version</w:t>
            </w:r>
          </w:p>
        </w:tc>
        <w:tc>
          <w:tcPr>
            <w:tcW w:type="dxa" w:w="6768"/>
            <w:vAlign w:val="center"/>
          </w:tcPr>
          <w:p>
            <w:pPr>
              <w:spacing w:after="0" w:before="0" w:line="240" w:lineRule="auto"/>
              <w:jc w:val="left"/>
            </w:pPr>
            <w:r/>
            <w:r>
              <w:rPr>
                <w:rFonts w:ascii="Cambria" w:hAnsi="Cambria"/>
                <w:b w:val="0"/>
                <w:i w:val="0"/>
                <w:color w:val="000000"/>
                <w:sz w:val="18"/>
              </w:rPr>
              <w:t>1.0</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Effective Date</w:t>
            </w:r>
          </w:p>
        </w:tc>
        <w:tc>
          <w:tcPr>
            <w:tcW w:type="dxa" w:w="6768"/>
            <w:vAlign w:val="center"/>
          </w:tcPr>
          <w:p>
            <w:pPr>
              <w:spacing w:after="0" w:before="0" w:line="240" w:lineRule="auto"/>
              <w:jc w:val="left"/>
            </w:pPr>
            <w:r/>
            <w:r>
              <w:rPr>
                <w:rFonts w:ascii="Cambria" w:hAnsi="Cambria"/>
                <w:b w:val="0"/>
                <w:i w:val="0"/>
                <w:color w:val="000000"/>
                <w:sz w:val="18"/>
              </w:rPr>
              <w:t>18 September 2026</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Next Review Date</w:t>
            </w:r>
          </w:p>
        </w:tc>
        <w:tc>
          <w:tcPr>
            <w:tcW w:type="dxa" w:w="6768"/>
            <w:vAlign w:val="center"/>
          </w:tcPr>
          <w:p>
            <w:pPr>
              <w:spacing w:after="0" w:before="0" w:line="240" w:lineRule="auto"/>
              <w:jc w:val="left"/>
            </w:pPr>
            <w:r/>
            <w:r>
              <w:rPr>
                <w:rFonts w:ascii="Cambria" w:hAnsi="Cambria"/>
                <w:b w:val="0"/>
                <w:i w:val="0"/>
                <w:color w:val="000000"/>
                <w:sz w:val="18"/>
              </w:rPr>
              <w:t>18 September 2027</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Document Owner</w:t>
            </w:r>
          </w:p>
        </w:tc>
        <w:tc>
          <w:tcPr>
            <w:tcW w:type="dxa" w:w="6768"/>
            <w:vAlign w:val="center"/>
          </w:tcPr>
          <w:p>
            <w:pPr>
              <w:spacing w:after="0" w:before="0" w:line="240" w:lineRule="auto"/>
              <w:jc w:val="left"/>
            </w:pPr>
            <w:r/>
            <w:r>
              <w:rPr>
                <w:rFonts w:ascii="Cambria" w:hAnsi="Cambria"/>
                <w:b w:val="0"/>
                <w:i w:val="0"/>
                <w:color w:val="000000"/>
                <w:sz w:val="18"/>
              </w:rPr>
              <w:t>Food Safety Team Leader / FSMS Owner</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Approver</w:t>
            </w:r>
          </w:p>
        </w:tc>
        <w:tc>
          <w:tcPr>
            <w:tcW w:type="dxa" w:w="6768"/>
            <w:vAlign w:val="center"/>
          </w:tcPr>
          <w:p>
            <w:pPr>
              <w:spacing w:after="0" w:before="0" w:line="240" w:lineRule="auto"/>
              <w:jc w:val="left"/>
            </w:pPr>
            <w:r/>
            <w:r>
              <w:rPr>
                <w:rFonts w:ascii="Cambria" w:hAnsi="Cambria"/>
                <w:b w:val="0"/>
                <w:i w:val="0"/>
                <w:color w:val="000000"/>
                <w:sz w:val="18"/>
              </w:rPr>
              <w:t>[APPROVER]</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Classification</w:t>
            </w:r>
          </w:p>
        </w:tc>
        <w:tc>
          <w:tcPr>
            <w:tcW w:type="dxa" w:w="6768"/>
            <w:vAlign w:val="center"/>
          </w:tcPr>
          <w:p>
            <w:pPr>
              <w:spacing w:after="0" w:before="0" w:line="240" w:lineRule="auto"/>
              <w:jc w:val="left"/>
            </w:pPr>
            <w:r/>
            <w:r>
              <w:rPr>
                <w:rFonts w:ascii="Cambria" w:hAnsi="Cambria"/>
                <w:b w:val="0"/>
                <w:i w:val="0"/>
                <w:color w:val="000000"/>
                <w:sz w:val="18"/>
              </w:rPr>
              <w:t>INTERNAL</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Applicable Standard</w:t>
            </w:r>
          </w:p>
        </w:tc>
        <w:tc>
          <w:tcPr>
            <w:tcW w:type="dxa" w:w="6768"/>
            <w:vAlign w:val="center"/>
          </w:tcPr>
          <w:p>
            <w:pPr>
              <w:spacing w:after="0" w:before="0" w:line="240" w:lineRule="auto"/>
              <w:jc w:val="left"/>
            </w:pPr>
            <w:r/>
            <w:r>
              <w:rPr>
                <w:rFonts w:ascii="Cambria" w:hAnsi="Cambria"/>
                <w:b w:val="0"/>
                <w:i w:val="0"/>
                <w:color w:val="000000"/>
                <w:sz w:val="18"/>
              </w:rPr>
              <w:t>ISO 22000:2018 + Amendment 1:2024</w:t>
            </w:r>
          </w:p>
        </w:tc>
      </w:tr>
      <w:tr>
        <w:trPr>
          <w:cantSplit/>
        </w:trPr>
        <w:tc>
          <w:tcPr>
            <w:tcW w:type="dxa" w:w="2520"/>
            <w:vAlign w:val="center"/>
            <w:shd w:fill="EAF3F8" w:val="clear"/>
          </w:tcPr>
          <w:p>
            <w:pPr>
              <w:spacing w:after="0" w:before="0" w:line="240" w:lineRule="auto"/>
              <w:jc w:val="left"/>
            </w:pPr>
            <w:r/>
            <w:r>
              <w:rPr>
                <w:rFonts w:ascii="Cambria" w:hAnsi="Cambria"/>
                <w:b/>
                <w:i w:val="0"/>
                <w:color w:val="000000"/>
                <w:sz w:val="18"/>
              </w:rPr>
              <w:t>Review Cycle</w:t>
            </w:r>
          </w:p>
        </w:tc>
        <w:tc>
          <w:tcPr>
            <w:tcW w:type="dxa" w:w="6768"/>
            <w:vAlign w:val="center"/>
          </w:tcPr>
          <w:p>
            <w:pPr>
              <w:spacing w:after="0" w:before="0" w:line="240" w:lineRule="auto"/>
              <w:jc w:val="left"/>
            </w:pPr>
            <w:r/>
            <w:r>
              <w:rPr>
                <w:rFonts w:ascii="Cambria" w:hAnsi="Cambria"/>
                <w:b w:val="0"/>
                <w:i w:val="0"/>
                <w:color w:val="000000"/>
                <w:sz w:val="18"/>
              </w:rPr>
              <w:t>ANNUAL</w:t>
            </w:r>
          </w:p>
        </w:tc>
      </w:tr>
    </w:tbl>
    <w:p>
      <w:pPr>
        <w:keepLines/>
        <w:spacing w:before="80" w:after="120"/>
      </w:pPr>
      <w:r>
        <w:rPr>
          <w:rFonts w:ascii="Cambria" w:hAnsi="Cambria"/>
          <w:b/>
          <w:i/>
          <w:color w:val="C00000"/>
          <w:sz w:val="19"/>
        </w:rPr>
        <w:t xml:space="preserve">[Note] </w:t>
      </w:r>
      <w:r>
        <w:rPr>
          <w:rFonts w:ascii="Cambria" w:hAnsi="Cambria"/>
          <w:b w:val="0"/>
          <w:i/>
          <w:color w:val="C00000"/>
          <w:sz w:val="19"/>
        </w:rPr>
        <w:t>Replace organization-specific placeholders and confirm applicable legal, regulatory, customer and sector requirements before controlled release.</w:t>
      </w:r>
    </w:p>
    <w:p/>
    <w:p>
      <w:pPr>
        <w:keepLines/>
        <w:spacing w:before="80" w:after="120"/>
      </w:pPr>
      <w:r>
        <w:rPr>
          <w:rFonts w:ascii="Cambria" w:hAnsi="Cambria"/>
          <w:b/>
          <w:i/>
          <w:color w:val="C00000"/>
          <w:sz w:val="19"/>
        </w:rPr>
        <w:t xml:space="preserve">[Note] </w:t>
      </w:r>
      <w:r>
        <w:rPr>
          <w:rFonts w:ascii="Cambria" w:hAnsi="Cambria"/>
          <w:b w:val="0"/>
          <w:i/>
          <w:color w:val="C00000"/>
          <w:sz w:val="19"/>
        </w:rPr>
        <w:t>This guidance is aligned to the current published ISO 22000:2018 requirements and Amendment 1:2024. Draft revisions under development are not treated as certification requirements until formally published and adopted.</w:t>
      </w:r>
    </w:p>
    <w:p>
      <w:pPr>
        <w:pStyle w:val="Heading1"/>
        <w:keepNext/>
      </w:pPr>
      <w:r>
        <w:t>1. How to Use This Guidance</w:t>
      </w:r>
    </w:p>
    <w:p>
      <w:pPr>
        <w:pStyle w:val="BodyText"/>
      </w:pPr>
      <w:r>
        <w:rPr>
          <w:rFonts w:ascii="Cambria" w:hAnsi="Cambria"/>
          <w:b w:val="0"/>
          <w:i w:val="0"/>
          <w:color w:val="000000"/>
          <w:sz w:val="21"/>
        </w:rPr>
        <w:t>Use this document as an implementation and maintenance guide for the FSMS. It provides a practical operating framework rather than reproducing the ISO standard. Build the system around the organization’s food chain role, products / services, processes, food safety hazards, legal obligations, customer requirements and risk profile.</w:t>
      </w:r>
    </w:p>
    <w:p>
      <w:pPr>
        <w:pStyle w:val="Heading1"/>
        <w:keepNext/>
      </w:pPr>
      <w:r>
        <w:t>2. FSMS Operating Model</w:t>
      </w:r>
    </w:p>
    <w:tbl>
      <w:tblPr>
        <w:tblStyle w:val="TableGrid"/>
        <w:tblW w:type="auto" w:w="0"/>
        <w:jc w:val="center"/>
        <w:tblLayout w:type="fixed"/>
        <w:tblLook w:val="04A0"/>
      </w:tblPr>
      <w:tblGrid>
        <w:gridCol w:w="3118"/>
        <w:gridCol w:w="3118"/>
        <w:gridCol w:w="3118"/>
      </w:tblGrid>
      <w:tr>
        <w:trPr>
          <w:cantSplit/>
          <w:tblHeader w:val="true"/>
        </w:trPr>
        <w:tc>
          <w:tcPr>
            <w:tcW w:type="dxa" w:w="2088"/>
            <w:vAlign w:val="center"/>
            <w:shd w:fill="D9EAF7" w:val="clear"/>
          </w:tcPr>
          <w:p>
            <w:pPr>
              <w:spacing w:after="0" w:before="0" w:line="240" w:lineRule="auto"/>
              <w:jc w:val="center"/>
            </w:pPr>
            <w:r/>
            <w:r>
              <w:rPr>
                <w:rFonts w:ascii="Cambria" w:hAnsi="Cambria"/>
                <w:b/>
                <w:i w:val="0"/>
                <w:color w:val="000000"/>
                <w:sz w:val="17"/>
              </w:rPr>
              <w:t>Management Layer</w:t>
            </w:r>
          </w:p>
        </w:tc>
        <w:tc>
          <w:tcPr>
            <w:tcW w:type="dxa" w:w="3744"/>
            <w:vAlign w:val="center"/>
            <w:shd w:fill="D9EAF7" w:val="clear"/>
          </w:tcPr>
          <w:p>
            <w:pPr>
              <w:spacing w:after="0" w:before="0" w:line="240" w:lineRule="auto"/>
              <w:jc w:val="center"/>
            </w:pPr>
            <w:r/>
            <w:r>
              <w:rPr>
                <w:rFonts w:ascii="Cambria" w:hAnsi="Cambria"/>
                <w:b/>
                <w:i w:val="0"/>
                <w:color w:val="000000"/>
                <w:sz w:val="17"/>
              </w:rPr>
              <w:t>Practical Objective</w:t>
            </w:r>
          </w:p>
        </w:tc>
        <w:tc>
          <w:tcPr>
            <w:tcW w:type="dxa" w:w="3456"/>
            <w:vAlign w:val="center"/>
            <w:shd w:fill="D9EAF7" w:val="clear"/>
          </w:tcPr>
          <w:p>
            <w:pPr>
              <w:spacing w:after="0" w:before="0" w:line="240" w:lineRule="auto"/>
              <w:jc w:val="center"/>
            </w:pPr>
            <w:r/>
            <w:r>
              <w:rPr>
                <w:rFonts w:ascii="Cambria" w:hAnsi="Cambria"/>
                <w:b/>
                <w:i w:val="0"/>
                <w:color w:val="000000"/>
                <w:sz w:val="17"/>
              </w:rPr>
              <w:t>Typical Evidence</w:t>
            </w:r>
          </w:p>
        </w:tc>
      </w:tr>
      <w:tr>
        <w:trPr>
          <w:cantSplit/>
        </w:trPr>
        <w:tc>
          <w:tcPr>
            <w:tcW w:type="dxa" w:w="2088"/>
            <w:vAlign w:val="center"/>
          </w:tcPr>
          <w:p>
            <w:pPr>
              <w:spacing w:after="0" w:before="0" w:line="240" w:lineRule="auto"/>
              <w:jc w:val="left"/>
            </w:pPr>
            <w:r/>
            <w:r>
              <w:rPr>
                <w:rFonts w:ascii="Cambria" w:hAnsi="Cambria"/>
                <w:b w:val="0"/>
                <w:i w:val="0"/>
                <w:color w:val="000000"/>
                <w:sz w:val="17"/>
              </w:rPr>
              <w:t>Context and Scope</w:t>
            </w:r>
          </w:p>
        </w:tc>
        <w:tc>
          <w:tcPr>
            <w:tcW w:type="dxa" w:w="3744"/>
            <w:vAlign w:val="center"/>
          </w:tcPr>
          <w:p>
            <w:pPr>
              <w:spacing w:after="0" w:before="0" w:line="240" w:lineRule="auto"/>
              <w:jc w:val="left"/>
            </w:pPr>
            <w:r/>
            <w:r>
              <w:rPr>
                <w:rFonts w:ascii="Cambria" w:hAnsi="Cambria"/>
                <w:b w:val="0"/>
                <w:i w:val="0"/>
                <w:color w:val="000000"/>
                <w:sz w:val="17"/>
              </w:rPr>
              <w:t>Define what the FSMS covers and what external / internal conditions can affect food safety performance.</w:t>
            </w:r>
          </w:p>
        </w:tc>
        <w:tc>
          <w:tcPr>
            <w:tcW w:type="dxa" w:w="3456"/>
            <w:vAlign w:val="center"/>
          </w:tcPr>
          <w:p>
            <w:pPr>
              <w:spacing w:after="0" w:before="0" w:line="240" w:lineRule="auto"/>
              <w:jc w:val="left"/>
            </w:pPr>
            <w:r/>
            <w:r>
              <w:rPr>
                <w:rFonts w:ascii="Cambria" w:hAnsi="Cambria"/>
                <w:b w:val="0"/>
                <w:i w:val="0"/>
                <w:color w:val="000000"/>
                <w:sz w:val="17"/>
              </w:rPr>
              <w:t>FSMS scope, context review, interested-party requirements.</w:t>
            </w:r>
          </w:p>
        </w:tc>
      </w:tr>
      <w:tr>
        <w:trPr>
          <w:cantSplit/>
        </w:trPr>
        <w:tc>
          <w:tcPr>
            <w:tcW w:type="dxa" w:w="2088"/>
            <w:vAlign w:val="center"/>
          </w:tcPr>
          <w:p>
            <w:pPr>
              <w:spacing w:after="0" w:before="0" w:line="240" w:lineRule="auto"/>
              <w:jc w:val="left"/>
            </w:pPr>
            <w:r/>
            <w:r>
              <w:rPr>
                <w:rFonts w:ascii="Cambria" w:hAnsi="Cambria"/>
                <w:b w:val="0"/>
                <w:i w:val="0"/>
                <w:color w:val="000000"/>
                <w:sz w:val="17"/>
              </w:rPr>
              <w:t>Leadership and Planning</w:t>
            </w:r>
          </w:p>
        </w:tc>
        <w:tc>
          <w:tcPr>
            <w:tcW w:type="dxa" w:w="3744"/>
            <w:vAlign w:val="center"/>
          </w:tcPr>
          <w:p>
            <w:pPr>
              <w:spacing w:after="0" w:before="0" w:line="240" w:lineRule="auto"/>
              <w:jc w:val="left"/>
            </w:pPr>
            <w:r/>
            <w:r>
              <w:rPr>
                <w:rFonts w:ascii="Cambria" w:hAnsi="Cambria"/>
                <w:b w:val="0"/>
                <w:i w:val="0"/>
                <w:color w:val="000000"/>
                <w:sz w:val="17"/>
              </w:rPr>
              <w:t>Set policy, responsibilities, objectives and management actions for risks / opportunities.</w:t>
            </w:r>
          </w:p>
        </w:tc>
        <w:tc>
          <w:tcPr>
            <w:tcW w:type="dxa" w:w="3456"/>
            <w:vAlign w:val="center"/>
          </w:tcPr>
          <w:p>
            <w:pPr>
              <w:spacing w:after="0" w:before="0" w:line="240" w:lineRule="auto"/>
              <w:jc w:val="left"/>
            </w:pPr>
            <w:r/>
            <w:r>
              <w:rPr>
                <w:rFonts w:ascii="Cambria" w:hAnsi="Cambria"/>
                <w:b w:val="0"/>
                <w:i w:val="0"/>
                <w:color w:val="000000"/>
                <w:sz w:val="17"/>
              </w:rPr>
              <w:t>Policy, objectives, roles, plans, management decisions.</w:t>
            </w:r>
          </w:p>
        </w:tc>
      </w:tr>
      <w:tr>
        <w:trPr>
          <w:cantSplit/>
        </w:trPr>
        <w:tc>
          <w:tcPr>
            <w:tcW w:type="dxa" w:w="2088"/>
            <w:vAlign w:val="center"/>
          </w:tcPr>
          <w:p>
            <w:pPr>
              <w:spacing w:after="0" w:before="0" w:line="240" w:lineRule="auto"/>
              <w:jc w:val="left"/>
            </w:pPr>
            <w:r/>
            <w:r>
              <w:rPr>
                <w:rFonts w:ascii="Cambria" w:hAnsi="Cambria"/>
                <w:b w:val="0"/>
                <w:i w:val="0"/>
                <w:color w:val="000000"/>
                <w:sz w:val="17"/>
              </w:rPr>
              <w:t>Support</w:t>
            </w:r>
          </w:p>
        </w:tc>
        <w:tc>
          <w:tcPr>
            <w:tcW w:type="dxa" w:w="3744"/>
            <w:vAlign w:val="center"/>
          </w:tcPr>
          <w:p>
            <w:pPr>
              <w:spacing w:after="0" w:before="0" w:line="240" w:lineRule="auto"/>
              <w:jc w:val="left"/>
            </w:pPr>
            <w:r/>
            <w:r>
              <w:rPr>
                <w:rFonts w:ascii="Cambria" w:hAnsi="Cambria"/>
                <w:b w:val="0"/>
                <w:i w:val="0"/>
                <w:color w:val="000000"/>
                <w:sz w:val="17"/>
              </w:rPr>
              <w:t>Provide people, competence, infrastructure, communication and controlled information.</w:t>
            </w:r>
          </w:p>
        </w:tc>
        <w:tc>
          <w:tcPr>
            <w:tcW w:type="dxa" w:w="3456"/>
            <w:vAlign w:val="center"/>
          </w:tcPr>
          <w:p>
            <w:pPr>
              <w:spacing w:after="0" w:before="0" w:line="240" w:lineRule="auto"/>
              <w:jc w:val="left"/>
            </w:pPr>
            <w:r/>
            <w:r>
              <w:rPr>
                <w:rFonts w:ascii="Cambria" w:hAnsi="Cambria"/>
                <w:b w:val="0"/>
                <w:i w:val="0"/>
                <w:color w:val="000000"/>
                <w:sz w:val="17"/>
              </w:rPr>
              <w:t>Training, maintenance / calibration, communication, document control.</w:t>
            </w:r>
          </w:p>
        </w:tc>
      </w:tr>
      <w:tr>
        <w:trPr>
          <w:cantSplit/>
        </w:trPr>
        <w:tc>
          <w:tcPr>
            <w:tcW w:type="dxa" w:w="2088"/>
            <w:vAlign w:val="center"/>
          </w:tcPr>
          <w:p>
            <w:pPr>
              <w:spacing w:after="0" w:before="0" w:line="240" w:lineRule="auto"/>
              <w:jc w:val="left"/>
            </w:pPr>
            <w:r/>
            <w:r>
              <w:rPr>
                <w:rFonts w:ascii="Cambria" w:hAnsi="Cambria"/>
                <w:b w:val="0"/>
                <w:i w:val="0"/>
                <w:color w:val="000000"/>
                <w:sz w:val="17"/>
              </w:rPr>
              <w:t>Operational Food Safety Control</w:t>
            </w:r>
          </w:p>
        </w:tc>
        <w:tc>
          <w:tcPr>
            <w:tcW w:type="dxa" w:w="3744"/>
            <w:vAlign w:val="center"/>
          </w:tcPr>
          <w:p>
            <w:pPr>
              <w:spacing w:after="0" w:before="0" w:line="240" w:lineRule="auto"/>
              <w:jc w:val="left"/>
            </w:pPr>
            <w:r/>
            <w:r>
              <w:rPr>
                <w:rFonts w:ascii="Cambria" w:hAnsi="Cambria"/>
                <w:b w:val="0"/>
                <w:i w:val="0"/>
                <w:color w:val="000000"/>
                <w:sz w:val="17"/>
              </w:rPr>
              <w:t>Establish PRPs, traceability, emergency arrangements, hazard analysis and control measures.</w:t>
            </w:r>
          </w:p>
        </w:tc>
        <w:tc>
          <w:tcPr>
            <w:tcW w:type="dxa" w:w="3456"/>
            <w:vAlign w:val="center"/>
          </w:tcPr>
          <w:p>
            <w:pPr>
              <w:spacing w:after="0" w:before="0" w:line="240" w:lineRule="auto"/>
              <w:jc w:val="left"/>
            </w:pPr>
            <w:r/>
            <w:r>
              <w:rPr>
                <w:rFonts w:ascii="Cambria" w:hAnsi="Cambria"/>
                <w:b w:val="0"/>
                <w:i w:val="0"/>
                <w:color w:val="000000"/>
                <w:sz w:val="17"/>
              </w:rPr>
              <w:t>PRP controls, hazard analysis, OPRP / CCP plan, monitoring and corrections.</w:t>
            </w:r>
          </w:p>
        </w:tc>
      </w:tr>
      <w:tr>
        <w:trPr>
          <w:cantSplit/>
        </w:trPr>
        <w:tc>
          <w:tcPr>
            <w:tcW w:type="dxa" w:w="2088"/>
            <w:vAlign w:val="center"/>
          </w:tcPr>
          <w:p>
            <w:pPr>
              <w:spacing w:after="0" w:before="0" w:line="240" w:lineRule="auto"/>
              <w:jc w:val="left"/>
            </w:pPr>
            <w:r/>
            <w:r>
              <w:rPr>
                <w:rFonts w:ascii="Cambria" w:hAnsi="Cambria"/>
                <w:b w:val="0"/>
                <w:i w:val="0"/>
                <w:color w:val="000000"/>
                <w:sz w:val="17"/>
              </w:rPr>
              <w:t>Performance Evaluation</w:t>
            </w:r>
          </w:p>
        </w:tc>
        <w:tc>
          <w:tcPr>
            <w:tcW w:type="dxa" w:w="3744"/>
            <w:vAlign w:val="center"/>
          </w:tcPr>
          <w:p>
            <w:pPr>
              <w:spacing w:after="0" w:before="0" w:line="240" w:lineRule="auto"/>
              <w:jc w:val="left"/>
            </w:pPr>
            <w:r/>
            <w:r>
              <w:rPr>
                <w:rFonts w:ascii="Cambria" w:hAnsi="Cambria"/>
                <w:b w:val="0"/>
                <w:i w:val="0"/>
                <w:color w:val="000000"/>
                <w:sz w:val="17"/>
              </w:rPr>
              <w:t>Verify controls, analyze performance, audit the system and review it at management level.</w:t>
            </w:r>
          </w:p>
        </w:tc>
        <w:tc>
          <w:tcPr>
            <w:tcW w:type="dxa" w:w="3456"/>
            <w:vAlign w:val="center"/>
          </w:tcPr>
          <w:p>
            <w:pPr>
              <w:spacing w:after="0" w:before="0" w:line="240" w:lineRule="auto"/>
              <w:jc w:val="left"/>
            </w:pPr>
            <w:r/>
            <w:r>
              <w:rPr>
                <w:rFonts w:ascii="Cambria" w:hAnsi="Cambria"/>
                <w:b w:val="0"/>
                <w:i w:val="0"/>
                <w:color w:val="000000"/>
                <w:sz w:val="17"/>
              </w:rPr>
              <w:t>Verification results, trends, audits, management reviews.</w:t>
            </w:r>
          </w:p>
        </w:tc>
      </w:tr>
      <w:tr>
        <w:trPr>
          <w:cantSplit/>
        </w:trPr>
        <w:tc>
          <w:tcPr>
            <w:tcW w:type="dxa" w:w="2088"/>
            <w:vAlign w:val="center"/>
          </w:tcPr>
          <w:p>
            <w:pPr>
              <w:spacing w:after="0" w:before="0" w:line="240" w:lineRule="auto"/>
              <w:jc w:val="left"/>
            </w:pPr>
            <w:r/>
            <w:r>
              <w:rPr>
                <w:rFonts w:ascii="Cambria" w:hAnsi="Cambria"/>
                <w:b w:val="0"/>
                <w:i w:val="0"/>
                <w:color w:val="000000"/>
                <w:sz w:val="17"/>
              </w:rPr>
              <w:t>Improvement and Update</w:t>
            </w:r>
          </w:p>
        </w:tc>
        <w:tc>
          <w:tcPr>
            <w:tcW w:type="dxa" w:w="3744"/>
            <w:vAlign w:val="center"/>
          </w:tcPr>
          <w:p>
            <w:pPr>
              <w:spacing w:after="0" w:before="0" w:line="240" w:lineRule="auto"/>
              <w:jc w:val="left"/>
            </w:pPr>
            <w:r/>
            <w:r>
              <w:rPr>
                <w:rFonts w:ascii="Cambria" w:hAnsi="Cambria"/>
                <w:b w:val="0"/>
                <w:i w:val="0"/>
                <w:color w:val="000000"/>
                <w:sz w:val="17"/>
              </w:rPr>
              <w:t>Correct failures, remove root causes, continually improve and keep the FSMS current.</w:t>
            </w:r>
          </w:p>
        </w:tc>
        <w:tc>
          <w:tcPr>
            <w:tcW w:type="dxa" w:w="3456"/>
            <w:vAlign w:val="center"/>
          </w:tcPr>
          <w:p>
            <w:pPr>
              <w:spacing w:after="0" w:before="0" w:line="240" w:lineRule="auto"/>
              <w:jc w:val="left"/>
            </w:pPr>
            <w:r/>
            <w:r>
              <w:rPr>
                <w:rFonts w:ascii="Cambria" w:hAnsi="Cambria"/>
                <w:b w:val="0"/>
                <w:i w:val="0"/>
                <w:color w:val="000000"/>
                <w:sz w:val="17"/>
              </w:rPr>
              <w:t>Corrective actions, improvement actions, updated FSMS information.</w:t>
            </w:r>
          </w:p>
        </w:tc>
      </w:tr>
    </w:tbl>
    <w:p>
      <w:pPr>
        <w:pStyle w:val="Heading1"/>
        <w:keepNext/>
      </w:pPr>
      <w:r>
        <w:t>3. Context, Interested Parties and Scope</w:t>
      </w:r>
    </w:p>
    <w:p>
      <w:pPr>
        <w:pStyle w:val="ListBullet"/>
        <w:spacing w:after="40"/>
        <w:ind w:left="340" w:hanging="170"/>
      </w:pPr>
      <w:r>
        <w:rPr>
          <w:rFonts w:ascii="Cambria" w:hAnsi="Cambria"/>
          <w:b w:val="0"/>
          <w:i w:val="0"/>
          <w:color w:val="000000"/>
          <w:sz w:val="20"/>
        </w:rPr>
        <w:t>Identify the organization’s role in the food chain, products / services, sites, processes, outsourced activities and interfaces relevant to food safety.</w:t>
      </w:r>
    </w:p>
    <w:p>
      <w:pPr>
        <w:pStyle w:val="ListBullet"/>
        <w:spacing w:after="40"/>
        <w:ind w:left="340" w:hanging="170"/>
      </w:pPr>
      <w:r>
        <w:rPr>
          <w:rFonts w:ascii="Cambria" w:hAnsi="Cambria"/>
          <w:b w:val="0"/>
          <w:i w:val="0"/>
          <w:color w:val="000000"/>
          <w:sz w:val="20"/>
        </w:rPr>
        <w:t>Identify external and internal issues that can affect the FSMS, including supply continuity, technology, workforce capability, regulatory environment, infrastructure and environmental / climate-related conditions where relevant.</w:t>
      </w:r>
    </w:p>
    <w:p>
      <w:pPr>
        <w:pStyle w:val="ListBullet"/>
        <w:spacing w:after="40"/>
        <w:ind w:left="340" w:hanging="170"/>
      </w:pPr>
      <w:r>
        <w:rPr>
          <w:rFonts w:ascii="Cambria" w:hAnsi="Cambria"/>
          <w:b w:val="0"/>
          <w:i w:val="0"/>
          <w:color w:val="000000"/>
          <w:sz w:val="20"/>
        </w:rPr>
        <w:t>Identify interested parties whose food safety requirements are relevant, such as regulators, customers, consumers, suppliers, certification bodies and corporate governance functions.</w:t>
      </w:r>
    </w:p>
    <w:p>
      <w:pPr>
        <w:pStyle w:val="ListBullet"/>
        <w:spacing w:after="40"/>
        <w:ind w:left="340" w:hanging="170"/>
      </w:pPr>
      <w:r>
        <w:rPr>
          <w:rFonts w:ascii="Cambria" w:hAnsi="Cambria"/>
          <w:b w:val="0"/>
          <w:i w:val="0"/>
          <w:color w:val="000000"/>
          <w:sz w:val="20"/>
        </w:rPr>
        <w:t>Define the FSMS scope clearly enough that included sites, activities, products / services and boundaries can be understood and audited.</w:t>
      </w:r>
    </w:p>
    <w:p>
      <w:pPr>
        <w:pStyle w:val="ListBullet"/>
        <w:spacing w:after="40"/>
        <w:ind w:left="340" w:hanging="170"/>
      </w:pPr>
      <w:r>
        <w:rPr>
          <w:rFonts w:ascii="Cambria" w:hAnsi="Cambria"/>
          <w:b w:val="0"/>
          <w:i w:val="0"/>
          <w:color w:val="000000"/>
          <w:sz w:val="20"/>
        </w:rPr>
        <w:t>Review context when significant change occurs, not only on a fixed annual date.</w:t>
      </w:r>
    </w:p>
    <w:p>
      <w:pPr>
        <w:pStyle w:val="Heading1"/>
        <w:keepNext/>
      </w:pPr>
      <w:r>
        <w:t>4. Leadership, Policy and Objectives</w:t>
      </w:r>
    </w:p>
    <w:tbl>
      <w:tblPr>
        <w:tblStyle w:val="TableGrid"/>
        <w:tblW w:type="auto" w:w="0"/>
        <w:jc w:val="center"/>
        <w:tblLayout w:type="fixed"/>
        <w:tblLook w:val="04A0"/>
      </w:tblPr>
      <w:tblGrid>
        <w:gridCol w:w="4677"/>
        <w:gridCol w:w="4677"/>
      </w:tblGrid>
      <w:tr>
        <w:trPr>
          <w:cantSplit/>
          <w:tblHeader w:val="true"/>
        </w:trPr>
        <w:tc>
          <w:tcPr>
            <w:tcW w:type="dxa" w:w="2232"/>
            <w:vAlign w:val="center"/>
            <w:shd w:fill="D9EAF7" w:val="clear"/>
          </w:tcPr>
          <w:p>
            <w:pPr>
              <w:spacing w:after="0" w:before="0" w:line="240" w:lineRule="auto"/>
              <w:jc w:val="center"/>
            </w:pPr>
            <w:r/>
            <w:r>
              <w:rPr>
                <w:rFonts w:ascii="Cambria" w:hAnsi="Cambria"/>
                <w:b/>
                <w:i w:val="0"/>
                <w:color w:val="000000"/>
                <w:sz w:val="18"/>
              </w:rPr>
              <w:t>Element</w:t>
            </w:r>
          </w:p>
        </w:tc>
        <w:tc>
          <w:tcPr>
            <w:tcW w:type="dxa" w:w="7056"/>
            <w:vAlign w:val="center"/>
            <w:shd w:fill="D9EAF7" w:val="clear"/>
          </w:tcPr>
          <w:p>
            <w:pPr>
              <w:spacing w:after="0" w:before="0" w:line="240" w:lineRule="auto"/>
              <w:jc w:val="center"/>
            </w:pPr>
            <w:r/>
            <w:r>
              <w:rPr>
                <w:rFonts w:ascii="Cambria" w:hAnsi="Cambria"/>
                <w:b/>
                <w:i w:val="0"/>
                <w:color w:val="000000"/>
                <w:sz w:val="18"/>
              </w:rPr>
              <w:t>Practical Expectation</w:t>
            </w:r>
          </w:p>
        </w:tc>
      </w:tr>
      <w:tr>
        <w:trPr>
          <w:cantSplit/>
        </w:trPr>
        <w:tc>
          <w:tcPr>
            <w:tcW w:type="dxa" w:w="2232"/>
            <w:vAlign w:val="center"/>
          </w:tcPr>
          <w:p>
            <w:pPr>
              <w:spacing w:after="0" w:before="0" w:line="240" w:lineRule="auto"/>
              <w:jc w:val="left"/>
            </w:pPr>
            <w:r/>
            <w:r>
              <w:rPr>
                <w:rFonts w:ascii="Cambria" w:hAnsi="Cambria"/>
                <w:b w:val="0"/>
                <w:i w:val="0"/>
                <w:color w:val="000000"/>
                <w:sz w:val="18"/>
              </w:rPr>
              <w:t>Food safety policy</w:t>
            </w:r>
          </w:p>
        </w:tc>
        <w:tc>
          <w:tcPr>
            <w:tcW w:type="dxa" w:w="7056"/>
            <w:vAlign w:val="center"/>
          </w:tcPr>
          <w:p>
            <w:pPr>
              <w:spacing w:after="0" w:before="0" w:line="240" w:lineRule="auto"/>
              <w:jc w:val="left"/>
            </w:pPr>
            <w:r/>
            <w:r>
              <w:rPr>
                <w:rFonts w:ascii="Cambria" w:hAnsi="Cambria"/>
                <w:b w:val="0"/>
                <w:i w:val="0"/>
                <w:color w:val="000000"/>
                <w:sz w:val="18"/>
              </w:rPr>
              <w:t>Clear commitment to safe products / services, applicable requirements, communication and continual improvement.</w:t>
            </w:r>
          </w:p>
        </w:tc>
      </w:tr>
      <w:tr>
        <w:trPr>
          <w:cantSplit/>
        </w:trPr>
        <w:tc>
          <w:tcPr>
            <w:tcW w:type="dxa" w:w="2232"/>
            <w:vAlign w:val="center"/>
          </w:tcPr>
          <w:p>
            <w:pPr>
              <w:spacing w:after="0" w:before="0" w:line="240" w:lineRule="auto"/>
              <w:jc w:val="left"/>
            </w:pPr>
            <w:r/>
            <w:r>
              <w:rPr>
                <w:rFonts w:ascii="Cambria" w:hAnsi="Cambria"/>
                <w:b w:val="0"/>
                <w:i w:val="0"/>
                <w:color w:val="000000"/>
                <w:sz w:val="18"/>
              </w:rPr>
              <w:t>Roles and authority</w:t>
            </w:r>
          </w:p>
        </w:tc>
        <w:tc>
          <w:tcPr>
            <w:tcW w:type="dxa" w:w="7056"/>
            <w:vAlign w:val="center"/>
          </w:tcPr>
          <w:p>
            <w:pPr>
              <w:spacing w:after="0" w:before="0" w:line="240" w:lineRule="auto"/>
              <w:jc w:val="left"/>
            </w:pPr>
            <w:r/>
            <w:r>
              <w:rPr>
                <w:rFonts w:ascii="Cambria" w:hAnsi="Cambria"/>
                <w:b w:val="0"/>
                <w:i w:val="0"/>
                <w:color w:val="000000"/>
                <w:sz w:val="18"/>
              </w:rPr>
              <w:t>Food safety responsibilities are assigned; escalation authority is clear for abnormal or unsafe conditions.</w:t>
            </w:r>
          </w:p>
        </w:tc>
      </w:tr>
      <w:tr>
        <w:trPr>
          <w:cantSplit/>
        </w:trPr>
        <w:tc>
          <w:tcPr>
            <w:tcW w:type="dxa" w:w="2232"/>
            <w:vAlign w:val="center"/>
          </w:tcPr>
          <w:p>
            <w:pPr>
              <w:spacing w:after="0" w:before="0" w:line="240" w:lineRule="auto"/>
              <w:jc w:val="left"/>
            </w:pPr>
            <w:r/>
            <w:r>
              <w:rPr>
                <w:rFonts w:ascii="Cambria" w:hAnsi="Cambria"/>
                <w:b w:val="0"/>
                <w:i w:val="0"/>
                <w:color w:val="000000"/>
                <w:sz w:val="18"/>
              </w:rPr>
              <w:t>Food safety team</w:t>
            </w:r>
          </w:p>
        </w:tc>
        <w:tc>
          <w:tcPr>
            <w:tcW w:type="dxa" w:w="7056"/>
            <w:vAlign w:val="center"/>
          </w:tcPr>
          <w:p>
            <w:pPr>
              <w:spacing w:after="0" w:before="0" w:line="240" w:lineRule="auto"/>
              <w:jc w:val="left"/>
            </w:pPr>
            <w:r/>
            <w:r>
              <w:rPr>
                <w:rFonts w:ascii="Cambria" w:hAnsi="Cambria"/>
                <w:b w:val="0"/>
                <w:i w:val="0"/>
                <w:color w:val="000000"/>
                <w:sz w:val="18"/>
              </w:rPr>
              <w:t>Competent cross-functional team with access to operational knowledge and decision makers.</w:t>
            </w:r>
          </w:p>
        </w:tc>
      </w:tr>
      <w:tr>
        <w:trPr>
          <w:cantSplit/>
        </w:trPr>
        <w:tc>
          <w:tcPr>
            <w:tcW w:type="dxa" w:w="2232"/>
            <w:vAlign w:val="center"/>
          </w:tcPr>
          <w:p>
            <w:pPr>
              <w:spacing w:after="0" w:before="0" w:line="240" w:lineRule="auto"/>
              <w:jc w:val="left"/>
            </w:pPr>
            <w:r/>
            <w:r>
              <w:rPr>
                <w:rFonts w:ascii="Cambria" w:hAnsi="Cambria"/>
                <w:b w:val="0"/>
                <w:i w:val="0"/>
                <w:color w:val="000000"/>
                <w:sz w:val="18"/>
              </w:rPr>
              <w:t>Objectives</w:t>
            </w:r>
          </w:p>
        </w:tc>
        <w:tc>
          <w:tcPr>
            <w:tcW w:type="dxa" w:w="7056"/>
            <w:vAlign w:val="center"/>
          </w:tcPr>
          <w:p>
            <w:pPr>
              <w:spacing w:after="0" w:before="0" w:line="240" w:lineRule="auto"/>
              <w:jc w:val="left"/>
            </w:pPr>
            <w:r/>
            <w:r>
              <w:rPr>
                <w:rFonts w:ascii="Cambria" w:hAnsi="Cambria"/>
                <w:b w:val="0"/>
                <w:i w:val="0"/>
                <w:color w:val="000000"/>
                <w:sz w:val="18"/>
              </w:rPr>
              <w:t>Measurable where practical, linked to food safety priorities, monitored and updated when no longer useful.</w:t>
            </w:r>
          </w:p>
        </w:tc>
      </w:tr>
      <w:tr>
        <w:trPr>
          <w:cantSplit/>
        </w:trPr>
        <w:tc>
          <w:tcPr>
            <w:tcW w:type="dxa" w:w="2232"/>
            <w:vAlign w:val="center"/>
          </w:tcPr>
          <w:p>
            <w:pPr>
              <w:spacing w:after="0" w:before="0" w:line="240" w:lineRule="auto"/>
              <w:jc w:val="left"/>
            </w:pPr>
            <w:r/>
            <w:r>
              <w:rPr>
                <w:rFonts w:ascii="Cambria" w:hAnsi="Cambria"/>
                <w:b w:val="0"/>
                <w:i w:val="0"/>
                <w:color w:val="000000"/>
                <w:sz w:val="18"/>
              </w:rPr>
              <w:t>Leadership review</w:t>
            </w:r>
          </w:p>
        </w:tc>
        <w:tc>
          <w:tcPr>
            <w:tcW w:type="dxa" w:w="7056"/>
            <w:vAlign w:val="center"/>
          </w:tcPr>
          <w:p>
            <w:pPr>
              <w:spacing w:after="0" w:before="0" w:line="240" w:lineRule="auto"/>
              <w:jc w:val="left"/>
            </w:pPr>
            <w:r/>
            <w:r>
              <w:rPr>
                <w:rFonts w:ascii="Cambria" w:hAnsi="Cambria"/>
                <w:b w:val="0"/>
                <w:i w:val="0"/>
                <w:color w:val="000000"/>
                <w:sz w:val="18"/>
              </w:rPr>
              <w:t>Top management receives evidence and makes decisions through management review and other governance channels.</w:t>
            </w:r>
          </w:p>
        </w:tc>
      </w:tr>
    </w:tbl>
    <w:p>
      <w:pPr>
        <w:pStyle w:val="Heading1"/>
        <w:keepNext/>
      </w:pPr>
      <w:r>
        <w:t>5. Prerequisite Programmes (PRPs)</w:t>
      </w:r>
    </w:p>
    <w:p>
      <w:pPr>
        <w:pStyle w:val="BodyText"/>
      </w:pPr>
      <w:r>
        <w:rPr>
          <w:rFonts w:ascii="Cambria" w:hAnsi="Cambria"/>
          <w:b w:val="0"/>
          <w:i w:val="0"/>
          <w:color w:val="000000"/>
          <w:sz w:val="21"/>
        </w:rPr>
        <w:t>PRPs create the basic hygienic and operational environment needed for safe food. Select and implement PRPs appropriate to the organization’s sector, products, processes and hazards. Use applicable legal / regulatory requirements, customer requirements and recognized sector guidance. The ISO 22002 series provides sector-specific and common PRP requirements that may be relevant depending on the organization’s food-chain category.</w:t>
      </w:r>
    </w:p>
    <w:tbl>
      <w:tblPr>
        <w:tblStyle w:val="TableGrid"/>
        <w:tblW w:type="auto" w:w="0"/>
        <w:jc w:val="center"/>
        <w:tblLayout w:type="fixed"/>
        <w:tblLook w:val="04A0"/>
      </w:tblPr>
      <w:tblGrid>
        <w:gridCol w:w="4677"/>
        <w:gridCol w:w="4677"/>
      </w:tblGrid>
      <w:tr>
        <w:trPr>
          <w:cantSplit/>
          <w:tblHeader w:val="true"/>
        </w:trPr>
        <w:tc>
          <w:tcPr>
            <w:tcW w:type="dxa" w:w="2448"/>
            <w:vAlign w:val="center"/>
            <w:shd w:fill="D9EAF7" w:val="clear"/>
          </w:tcPr>
          <w:p>
            <w:pPr>
              <w:spacing w:after="0" w:before="0" w:line="240" w:lineRule="auto"/>
              <w:jc w:val="center"/>
            </w:pPr>
            <w:r/>
            <w:r>
              <w:rPr>
                <w:rFonts w:ascii="Cambria" w:hAnsi="Cambria"/>
                <w:b/>
                <w:i w:val="0"/>
                <w:color w:val="000000"/>
                <w:sz w:val="17"/>
              </w:rPr>
              <w:t>PRP Area</w:t>
            </w:r>
          </w:p>
        </w:tc>
        <w:tc>
          <w:tcPr>
            <w:tcW w:type="dxa" w:w="6840"/>
            <w:vAlign w:val="center"/>
            <w:shd w:fill="D9EAF7" w:val="clear"/>
          </w:tcPr>
          <w:p>
            <w:pPr>
              <w:spacing w:after="0" w:before="0" w:line="240" w:lineRule="auto"/>
              <w:jc w:val="center"/>
            </w:pPr>
            <w:r/>
            <w:r>
              <w:rPr>
                <w:rFonts w:ascii="Cambria" w:hAnsi="Cambria"/>
                <w:b/>
                <w:i w:val="0"/>
                <w:color w:val="000000"/>
                <w:sz w:val="17"/>
              </w:rPr>
              <w:t>Control Examples</w:t>
            </w:r>
          </w:p>
        </w:tc>
      </w:tr>
      <w:tr>
        <w:trPr>
          <w:cantSplit/>
        </w:trPr>
        <w:tc>
          <w:tcPr>
            <w:tcW w:type="dxa" w:w="2448"/>
            <w:vAlign w:val="center"/>
          </w:tcPr>
          <w:p>
            <w:pPr>
              <w:spacing w:after="0" w:before="0" w:line="240" w:lineRule="auto"/>
              <w:jc w:val="left"/>
            </w:pPr>
            <w:r/>
            <w:r>
              <w:rPr>
                <w:rFonts w:ascii="Cambria" w:hAnsi="Cambria"/>
                <w:b w:val="0"/>
                <w:i w:val="0"/>
                <w:color w:val="000000"/>
                <w:sz w:val="17"/>
              </w:rPr>
              <w:t>Facility / layout</w:t>
            </w:r>
          </w:p>
        </w:tc>
        <w:tc>
          <w:tcPr>
            <w:tcW w:type="dxa" w:w="6840"/>
            <w:vAlign w:val="center"/>
          </w:tcPr>
          <w:p>
            <w:pPr>
              <w:spacing w:after="0" w:before="0" w:line="240" w:lineRule="auto"/>
              <w:jc w:val="left"/>
            </w:pPr>
            <w:r/>
            <w:r>
              <w:rPr>
                <w:rFonts w:ascii="Cambria" w:hAnsi="Cambria"/>
                <w:b w:val="0"/>
                <w:i w:val="0"/>
                <w:color w:val="000000"/>
                <w:sz w:val="17"/>
              </w:rPr>
              <w:t>Zoning, hygienic design, material / personnel flow, prevention of cross-contamination.</w:t>
            </w:r>
          </w:p>
        </w:tc>
      </w:tr>
      <w:tr>
        <w:trPr>
          <w:cantSplit/>
        </w:trPr>
        <w:tc>
          <w:tcPr>
            <w:tcW w:type="dxa" w:w="2448"/>
            <w:vAlign w:val="center"/>
          </w:tcPr>
          <w:p>
            <w:pPr>
              <w:spacing w:after="0" w:before="0" w:line="240" w:lineRule="auto"/>
              <w:jc w:val="left"/>
            </w:pPr>
            <w:r/>
            <w:r>
              <w:rPr>
                <w:rFonts w:ascii="Cambria" w:hAnsi="Cambria"/>
                <w:b w:val="0"/>
                <w:i w:val="0"/>
                <w:color w:val="000000"/>
                <w:sz w:val="17"/>
              </w:rPr>
              <w:t>Utilities</w:t>
            </w:r>
          </w:p>
        </w:tc>
        <w:tc>
          <w:tcPr>
            <w:tcW w:type="dxa" w:w="6840"/>
            <w:vAlign w:val="center"/>
          </w:tcPr>
          <w:p>
            <w:pPr>
              <w:spacing w:after="0" w:before="0" w:line="240" w:lineRule="auto"/>
              <w:jc w:val="left"/>
            </w:pPr>
            <w:r/>
            <w:r>
              <w:rPr>
                <w:rFonts w:ascii="Cambria" w:hAnsi="Cambria"/>
                <w:b w:val="0"/>
                <w:i w:val="0"/>
                <w:color w:val="000000"/>
                <w:sz w:val="17"/>
              </w:rPr>
              <w:t>Water, air, steam, energy and other utilities where their quality can affect food safety.</w:t>
            </w:r>
          </w:p>
        </w:tc>
      </w:tr>
      <w:tr>
        <w:trPr>
          <w:cantSplit/>
        </w:trPr>
        <w:tc>
          <w:tcPr>
            <w:tcW w:type="dxa" w:w="2448"/>
            <w:vAlign w:val="center"/>
          </w:tcPr>
          <w:p>
            <w:pPr>
              <w:spacing w:after="0" w:before="0" w:line="240" w:lineRule="auto"/>
              <w:jc w:val="left"/>
            </w:pPr>
            <w:r/>
            <w:r>
              <w:rPr>
                <w:rFonts w:ascii="Cambria" w:hAnsi="Cambria"/>
                <w:b w:val="0"/>
                <w:i w:val="0"/>
                <w:color w:val="000000"/>
                <w:sz w:val="17"/>
              </w:rPr>
              <w:t>Cleaning / sanitation</w:t>
            </w:r>
          </w:p>
        </w:tc>
        <w:tc>
          <w:tcPr>
            <w:tcW w:type="dxa" w:w="6840"/>
            <w:vAlign w:val="center"/>
          </w:tcPr>
          <w:p>
            <w:pPr>
              <w:spacing w:after="0" w:before="0" w:line="240" w:lineRule="auto"/>
              <w:jc w:val="left"/>
            </w:pPr>
            <w:r/>
            <w:r>
              <w:rPr>
                <w:rFonts w:ascii="Cambria" w:hAnsi="Cambria"/>
                <w:b w:val="0"/>
                <w:i w:val="0"/>
                <w:color w:val="000000"/>
                <w:sz w:val="17"/>
              </w:rPr>
              <w:t>Methods, chemicals, frequencies, verification and escalation for unacceptable results.</w:t>
            </w:r>
          </w:p>
        </w:tc>
      </w:tr>
      <w:tr>
        <w:trPr>
          <w:cantSplit/>
        </w:trPr>
        <w:tc>
          <w:tcPr>
            <w:tcW w:type="dxa" w:w="2448"/>
            <w:vAlign w:val="center"/>
          </w:tcPr>
          <w:p>
            <w:pPr>
              <w:spacing w:after="0" w:before="0" w:line="240" w:lineRule="auto"/>
              <w:jc w:val="left"/>
            </w:pPr>
            <w:r/>
            <w:r>
              <w:rPr>
                <w:rFonts w:ascii="Cambria" w:hAnsi="Cambria"/>
                <w:b w:val="0"/>
                <w:i w:val="0"/>
                <w:color w:val="000000"/>
                <w:sz w:val="17"/>
              </w:rPr>
              <w:t>Pest control</w:t>
            </w:r>
          </w:p>
        </w:tc>
        <w:tc>
          <w:tcPr>
            <w:tcW w:type="dxa" w:w="6840"/>
            <w:vAlign w:val="center"/>
          </w:tcPr>
          <w:p>
            <w:pPr>
              <w:spacing w:after="0" w:before="0" w:line="240" w:lineRule="auto"/>
              <w:jc w:val="left"/>
            </w:pPr>
            <w:r/>
            <w:r>
              <w:rPr>
                <w:rFonts w:ascii="Cambria" w:hAnsi="Cambria"/>
                <w:b w:val="0"/>
                <w:i w:val="0"/>
                <w:color w:val="000000"/>
                <w:sz w:val="17"/>
              </w:rPr>
              <w:t>Prevention, monitoring, contractor control and trend response.</w:t>
            </w:r>
          </w:p>
        </w:tc>
      </w:tr>
      <w:tr>
        <w:trPr>
          <w:cantSplit/>
        </w:trPr>
        <w:tc>
          <w:tcPr>
            <w:tcW w:type="dxa" w:w="2448"/>
            <w:vAlign w:val="center"/>
          </w:tcPr>
          <w:p>
            <w:pPr>
              <w:spacing w:after="0" w:before="0" w:line="240" w:lineRule="auto"/>
              <w:jc w:val="left"/>
            </w:pPr>
            <w:r/>
            <w:r>
              <w:rPr>
                <w:rFonts w:ascii="Cambria" w:hAnsi="Cambria"/>
                <w:b w:val="0"/>
                <w:i w:val="0"/>
                <w:color w:val="000000"/>
                <w:sz w:val="17"/>
              </w:rPr>
              <w:t>Personnel hygiene</w:t>
            </w:r>
          </w:p>
        </w:tc>
        <w:tc>
          <w:tcPr>
            <w:tcW w:type="dxa" w:w="6840"/>
            <w:vAlign w:val="center"/>
          </w:tcPr>
          <w:p>
            <w:pPr>
              <w:spacing w:after="0" w:before="0" w:line="240" w:lineRule="auto"/>
              <w:jc w:val="left"/>
            </w:pPr>
            <w:r/>
            <w:r>
              <w:rPr>
                <w:rFonts w:ascii="Cambria" w:hAnsi="Cambria"/>
                <w:b w:val="0"/>
                <w:i w:val="0"/>
                <w:color w:val="000000"/>
                <w:sz w:val="17"/>
              </w:rPr>
              <w:t>Entry rules, protective clothing, illness / injury reporting and hygienic practices.</w:t>
            </w:r>
          </w:p>
        </w:tc>
      </w:tr>
      <w:tr>
        <w:trPr>
          <w:cantSplit/>
        </w:trPr>
        <w:tc>
          <w:tcPr>
            <w:tcW w:type="dxa" w:w="2448"/>
            <w:vAlign w:val="center"/>
          </w:tcPr>
          <w:p>
            <w:pPr>
              <w:spacing w:after="0" w:before="0" w:line="240" w:lineRule="auto"/>
              <w:jc w:val="left"/>
            </w:pPr>
            <w:r/>
            <w:r>
              <w:rPr>
                <w:rFonts w:ascii="Cambria" w:hAnsi="Cambria"/>
                <w:b w:val="0"/>
                <w:i w:val="0"/>
                <w:color w:val="000000"/>
                <w:sz w:val="17"/>
              </w:rPr>
              <w:t>Allergen / cross-contact control</w:t>
            </w:r>
          </w:p>
        </w:tc>
        <w:tc>
          <w:tcPr>
            <w:tcW w:type="dxa" w:w="6840"/>
            <w:vAlign w:val="center"/>
          </w:tcPr>
          <w:p>
            <w:pPr>
              <w:spacing w:after="0" w:before="0" w:line="240" w:lineRule="auto"/>
              <w:jc w:val="left"/>
            </w:pPr>
            <w:r/>
            <w:r>
              <w:rPr>
                <w:rFonts w:ascii="Cambria" w:hAnsi="Cambria"/>
                <w:b w:val="0"/>
                <w:i w:val="0"/>
                <w:color w:val="000000"/>
                <w:sz w:val="17"/>
              </w:rPr>
              <w:t>Segregation, scheduling, cleaning, label / recipe controls and verification.</w:t>
            </w:r>
          </w:p>
        </w:tc>
      </w:tr>
      <w:tr>
        <w:trPr>
          <w:cantSplit/>
        </w:trPr>
        <w:tc>
          <w:tcPr>
            <w:tcW w:type="dxa" w:w="2448"/>
            <w:vAlign w:val="center"/>
          </w:tcPr>
          <w:p>
            <w:pPr>
              <w:spacing w:after="0" w:before="0" w:line="240" w:lineRule="auto"/>
              <w:jc w:val="left"/>
            </w:pPr>
            <w:r/>
            <w:r>
              <w:rPr>
                <w:rFonts w:ascii="Cambria" w:hAnsi="Cambria"/>
                <w:b w:val="0"/>
                <w:i w:val="0"/>
                <w:color w:val="000000"/>
                <w:sz w:val="17"/>
              </w:rPr>
              <w:t>Maintenance</w:t>
            </w:r>
          </w:p>
        </w:tc>
        <w:tc>
          <w:tcPr>
            <w:tcW w:type="dxa" w:w="6840"/>
            <w:vAlign w:val="center"/>
          </w:tcPr>
          <w:p>
            <w:pPr>
              <w:spacing w:after="0" w:before="0" w:line="240" w:lineRule="auto"/>
              <w:jc w:val="left"/>
            </w:pPr>
            <w:r/>
            <w:r>
              <w:rPr>
                <w:rFonts w:ascii="Cambria" w:hAnsi="Cambria"/>
                <w:b w:val="0"/>
                <w:i w:val="0"/>
                <w:color w:val="000000"/>
                <w:sz w:val="17"/>
              </w:rPr>
              <w:t>Preventive maintenance, hygienic repairs, foreign-material prevention, post-maintenance release.</w:t>
            </w:r>
          </w:p>
        </w:tc>
      </w:tr>
      <w:tr>
        <w:trPr>
          <w:cantSplit/>
        </w:trPr>
        <w:tc>
          <w:tcPr>
            <w:tcW w:type="dxa" w:w="2448"/>
            <w:vAlign w:val="center"/>
          </w:tcPr>
          <w:p>
            <w:pPr>
              <w:spacing w:after="0" w:before="0" w:line="240" w:lineRule="auto"/>
              <w:jc w:val="left"/>
            </w:pPr>
            <w:r/>
            <w:r>
              <w:rPr>
                <w:rFonts w:ascii="Cambria" w:hAnsi="Cambria"/>
                <w:b w:val="0"/>
                <w:i w:val="0"/>
                <w:color w:val="000000"/>
                <w:sz w:val="17"/>
              </w:rPr>
              <w:t>Storage / transport</w:t>
            </w:r>
          </w:p>
        </w:tc>
        <w:tc>
          <w:tcPr>
            <w:tcW w:type="dxa" w:w="6840"/>
            <w:vAlign w:val="center"/>
          </w:tcPr>
          <w:p>
            <w:pPr>
              <w:spacing w:after="0" w:before="0" w:line="240" w:lineRule="auto"/>
              <w:jc w:val="left"/>
            </w:pPr>
            <w:r/>
            <w:r>
              <w:rPr>
                <w:rFonts w:ascii="Cambria" w:hAnsi="Cambria"/>
                <w:b w:val="0"/>
                <w:i w:val="0"/>
                <w:color w:val="000000"/>
                <w:sz w:val="17"/>
              </w:rPr>
              <w:t>Temperature, segregation, stock rotation, loading, vehicle / container hygiene and traceability.</w:t>
            </w:r>
          </w:p>
        </w:tc>
      </w:tr>
    </w:tbl>
    <w:p>
      <w:pPr>
        <w:pStyle w:val="Heading1"/>
        <w:keepNext/>
      </w:pPr>
      <w:r>
        <w:t>6. Hazard Analysis and Hazard Control</w:t>
      </w:r>
    </w:p>
    <w:p>
      <w:pPr>
        <w:pStyle w:val="BodyText"/>
      </w:pPr>
      <w:r>
        <w:rPr>
          <w:rFonts w:ascii="Cambria" w:hAnsi="Cambria"/>
          <w:b w:val="0"/>
          <w:i w:val="0"/>
          <w:color w:val="000000"/>
          <w:sz w:val="21"/>
        </w:rPr>
        <w:t>Hazard analysis should convert product / process knowledge into explicit control decisions. Use a competent food safety team and reliable inputs. Keep the analysis current when products, ingredients, suppliers, processes, equipment, intended use, legal requirements or scientific information change.</w:t>
      </w:r>
    </w:p>
    <w:tbl>
      <w:tblPr>
        <w:tblStyle w:val="TableGrid"/>
        <w:tblW w:type="auto" w:w="0"/>
        <w:jc w:val="center"/>
        <w:tblLayout w:type="fixed"/>
        <w:tblLook w:val="04A0"/>
      </w:tblPr>
      <w:tblGrid>
        <w:gridCol w:w="4677"/>
        <w:gridCol w:w="4677"/>
      </w:tblGrid>
      <w:tr>
        <w:trPr>
          <w:cantSplit/>
          <w:tblHeader w:val="true"/>
        </w:trPr>
        <w:tc>
          <w:tcPr>
            <w:tcW w:type="dxa" w:w="2951"/>
            <w:vAlign w:val="center"/>
            <w:shd w:fill="D9EAF7" w:val="clear"/>
          </w:tcPr>
          <w:p>
            <w:pPr>
              <w:spacing w:after="0" w:before="0" w:line="240" w:lineRule="auto"/>
              <w:jc w:val="center"/>
            </w:pPr>
            <w:r/>
            <w:r>
              <w:rPr>
                <w:rFonts w:ascii="Cambria" w:hAnsi="Cambria"/>
                <w:b/>
                <w:i w:val="0"/>
                <w:color w:val="000000"/>
                <w:sz w:val="17"/>
              </w:rPr>
              <w:t>Stage</w:t>
            </w:r>
          </w:p>
        </w:tc>
        <w:tc>
          <w:tcPr>
            <w:tcW w:type="dxa" w:w="6336"/>
            <w:vAlign w:val="center"/>
            <w:shd w:fill="D9EAF7" w:val="clear"/>
          </w:tcPr>
          <w:p>
            <w:pPr>
              <w:spacing w:after="0" w:before="0" w:line="240" w:lineRule="auto"/>
              <w:jc w:val="center"/>
            </w:pPr>
            <w:r/>
            <w:r>
              <w:rPr>
                <w:rFonts w:ascii="Cambria" w:hAnsi="Cambria"/>
                <w:b/>
                <w:i w:val="0"/>
                <w:color w:val="000000"/>
                <w:sz w:val="17"/>
              </w:rPr>
              <w:t>Practical Output</w:t>
            </w:r>
          </w:p>
        </w:tc>
      </w:tr>
      <w:tr>
        <w:trPr>
          <w:cantSplit/>
        </w:trPr>
        <w:tc>
          <w:tcPr>
            <w:tcW w:type="dxa" w:w="2951"/>
            <w:vAlign w:val="center"/>
          </w:tcPr>
          <w:p>
            <w:pPr>
              <w:spacing w:after="0" w:before="0" w:line="240" w:lineRule="auto"/>
              <w:jc w:val="left"/>
            </w:pPr>
            <w:r/>
            <w:r>
              <w:rPr>
                <w:rFonts w:ascii="Cambria" w:hAnsi="Cambria"/>
                <w:b w:val="0"/>
                <w:i w:val="0"/>
                <w:color w:val="000000"/>
                <w:sz w:val="17"/>
              </w:rPr>
              <w:t>Describe products / processes / intended use</w:t>
            </w:r>
          </w:p>
        </w:tc>
        <w:tc>
          <w:tcPr>
            <w:tcW w:type="dxa" w:w="6336"/>
            <w:vAlign w:val="center"/>
          </w:tcPr>
          <w:p>
            <w:pPr>
              <w:spacing w:after="0" w:before="0" w:line="240" w:lineRule="auto"/>
              <w:jc w:val="left"/>
            </w:pPr>
            <w:r/>
            <w:r>
              <w:rPr>
                <w:rFonts w:ascii="Cambria" w:hAnsi="Cambria"/>
                <w:b w:val="0"/>
                <w:i w:val="0"/>
                <w:color w:val="000000"/>
                <w:sz w:val="17"/>
              </w:rPr>
              <w:t>Complete information sufficient to identify relevant biological, chemical, physical and allergen hazards.</w:t>
            </w:r>
          </w:p>
        </w:tc>
      </w:tr>
      <w:tr>
        <w:trPr>
          <w:cantSplit/>
        </w:trPr>
        <w:tc>
          <w:tcPr>
            <w:tcW w:type="dxa" w:w="2951"/>
            <w:vAlign w:val="center"/>
          </w:tcPr>
          <w:p>
            <w:pPr>
              <w:spacing w:after="0" w:before="0" w:line="240" w:lineRule="auto"/>
              <w:jc w:val="left"/>
            </w:pPr>
            <w:r/>
            <w:r>
              <w:rPr>
                <w:rFonts w:ascii="Cambria" w:hAnsi="Cambria"/>
                <w:b w:val="0"/>
                <w:i w:val="0"/>
                <w:color w:val="000000"/>
                <w:sz w:val="17"/>
              </w:rPr>
              <w:t>Identify hazards and acceptable levels</w:t>
            </w:r>
          </w:p>
        </w:tc>
        <w:tc>
          <w:tcPr>
            <w:tcW w:type="dxa" w:w="6336"/>
            <w:vAlign w:val="center"/>
          </w:tcPr>
          <w:p>
            <w:pPr>
              <w:spacing w:after="0" w:before="0" w:line="240" w:lineRule="auto"/>
              <w:jc w:val="left"/>
            </w:pPr>
            <w:r/>
            <w:r>
              <w:rPr>
                <w:rFonts w:ascii="Cambria" w:hAnsi="Cambria"/>
                <w:b w:val="0"/>
                <w:i w:val="0"/>
                <w:color w:val="000000"/>
                <w:sz w:val="17"/>
              </w:rPr>
              <w:t>Hazard list and basis for food safety significance.</w:t>
            </w:r>
          </w:p>
        </w:tc>
      </w:tr>
      <w:tr>
        <w:trPr>
          <w:cantSplit/>
        </w:trPr>
        <w:tc>
          <w:tcPr>
            <w:tcW w:type="dxa" w:w="2951"/>
            <w:vAlign w:val="center"/>
          </w:tcPr>
          <w:p>
            <w:pPr>
              <w:spacing w:after="0" w:before="0" w:line="240" w:lineRule="auto"/>
              <w:jc w:val="left"/>
            </w:pPr>
            <w:r/>
            <w:r>
              <w:rPr>
                <w:rFonts w:ascii="Cambria" w:hAnsi="Cambria"/>
                <w:b w:val="0"/>
                <w:i w:val="0"/>
                <w:color w:val="000000"/>
                <w:sz w:val="17"/>
              </w:rPr>
              <w:t>Assess hazards</w:t>
            </w:r>
          </w:p>
        </w:tc>
        <w:tc>
          <w:tcPr>
            <w:tcW w:type="dxa" w:w="6336"/>
            <w:vAlign w:val="center"/>
          </w:tcPr>
          <w:p>
            <w:pPr>
              <w:spacing w:after="0" w:before="0" w:line="240" w:lineRule="auto"/>
              <w:jc w:val="left"/>
            </w:pPr>
            <w:r/>
            <w:r>
              <w:rPr>
                <w:rFonts w:ascii="Cambria" w:hAnsi="Cambria"/>
                <w:b w:val="0"/>
                <w:i w:val="0"/>
                <w:color w:val="000000"/>
                <w:sz w:val="17"/>
              </w:rPr>
              <w:t>Documented determination of which hazards require prevention, elimination or reduction to acceptable levels.</w:t>
            </w:r>
          </w:p>
        </w:tc>
      </w:tr>
      <w:tr>
        <w:trPr>
          <w:cantSplit/>
        </w:trPr>
        <w:tc>
          <w:tcPr>
            <w:tcW w:type="dxa" w:w="2951"/>
            <w:vAlign w:val="center"/>
          </w:tcPr>
          <w:p>
            <w:pPr>
              <w:spacing w:after="0" w:before="0" w:line="240" w:lineRule="auto"/>
              <w:jc w:val="left"/>
            </w:pPr>
            <w:r/>
            <w:r>
              <w:rPr>
                <w:rFonts w:ascii="Cambria" w:hAnsi="Cambria"/>
                <w:b w:val="0"/>
                <w:i w:val="0"/>
                <w:color w:val="000000"/>
                <w:sz w:val="17"/>
              </w:rPr>
              <w:t>Select control measures</w:t>
            </w:r>
          </w:p>
        </w:tc>
        <w:tc>
          <w:tcPr>
            <w:tcW w:type="dxa" w:w="6336"/>
            <w:vAlign w:val="center"/>
          </w:tcPr>
          <w:p>
            <w:pPr>
              <w:spacing w:after="0" w:before="0" w:line="240" w:lineRule="auto"/>
              <w:jc w:val="left"/>
            </w:pPr>
            <w:r/>
            <w:r>
              <w:rPr>
                <w:rFonts w:ascii="Cambria" w:hAnsi="Cambria"/>
                <w:b w:val="0"/>
                <w:i w:val="0"/>
                <w:color w:val="000000"/>
                <w:sz w:val="17"/>
              </w:rPr>
              <w:t>Control measures assigned and categorized using the organization’s ISO 22000 methodology.</w:t>
            </w:r>
          </w:p>
        </w:tc>
      </w:tr>
      <w:tr>
        <w:trPr>
          <w:cantSplit/>
        </w:trPr>
        <w:tc>
          <w:tcPr>
            <w:tcW w:type="dxa" w:w="2951"/>
            <w:vAlign w:val="center"/>
          </w:tcPr>
          <w:p>
            <w:pPr>
              <w:spacing w:after="0" w:before="0" w:line="240" w:lineRule="auto"/>
              <w:jc w:val="left"/>
            </w:pPr>
            <w:r/>
            <w:r>
              <w:rPr>
                <w:rFonts w:ascii="Cambria" w:hAnsi="Cambria"/>
                <w:b w:val="0"/>
                <w:i w:val="0"/>
                <w:color w:val="000000"/>
                <w:sz w:val="17"/>
              </w:rPr>
              <w:t>Establish OPRP / CCP controls</w:t>
            </w:r>
          </w:p>
        </w:tc>
        <w:tc>
          <w:tcPr>
            <w:tcW w:type="dxa" w:w="6336"/>
            <w:vAlign w:val="center"/>
          </w:tcPr>
          <w:p>
            <w:pPr>
              <w:spacing w:after="0" w:before="0" w:line="240" w:lineRule="auto"/>
              <w:jc w:val="left"/>
            </w:pPr>
            <w:r/>
            <w:r>
              <w:rPr>
                <w:rFonts w:ascii="Cambria" w:hAnsi="Cambria"/>
                <w:b w:val="0"/>
                <w:i w:val="0"/>
                <w:color w:val="000000"/>
                <w:sz w:val="17"/>
              </w:rPr>
              <w:t>Monitoring method, criteria / critical limits where applicable, responsibility, correction and records.</w:t>
            </w:r>
          </w:p>
        </w:tc>
      </w:tr>
      <w:tr>
        <w:trPr>
          <w:cantSplit/>
        </w:trPr>
        <w:tc>
          <w:tcPr>
            <w:tcW w:type="dxa" w:w="2951"/>
            <w:vAlign w:val="center"/>
          </w:tcPr>
          <w:p>
            <w:pPr>
              <w:spacing w:after="0" w:before="0" w:line="240" w:lineRule="auto"/>
              <w:jc w:val="left"/>
            </w:pPr>
            <w:r/>
            <w:r>
              <w:rPr>
                <w:rFonts w:ascii="Cambria" w:hAnsi="Cambria"/>
                <w:b w:val="0"/>
                <w:i w:val="0"/>
                <w:color w:val="000000"/>
                <w:sz w:val="17"/>
              </w:rPr>
              <w:t>Validate control measures</w:t>
            </w:r>
          </w:p>
        </w:tc>
        <w:tc>
          <w:tcPr>
            <w:tcW w:type="dxa" w:w="6336"/>
            <w:vAlign w:val="center"/>
          </w:tcPr>
          <w:p>
            <w:pPr>
              <w:spacing w:after="0" w:before="0" w:line="240" w:lineRule="auto"/>
              <w:jc w:val="left"/>
            </w:pPr>
            <w:r/>
            <w:r>
              <w:rPr>
                <w:rFonts w:ascii="Cambria" w:hAnsi="Cambria"/>
                <w:b w:val="0"/>
                <w:i w:val="0"/>
                <w:color w:val="000000"/>
                <w:sz w:val="17"/>
              </w:rPr>
              <w:t>Evidence that selected controls are capable of achieving the intended food safety outcome before routine reliance where required.</w:t>
            </w:r>
          </w:p>
        </w:tc>
      </w:tr>
      <w:tr>
        <w:trPr>
          <w:cantSplit/>
        </w:trPr>
        <w:tc>
          <w:tcPr>
            <w:tcW w:type="dxa" w:w="2951"/>
            <w:vAlign w:val="center"/>
          </w:tcPr>
          <w:p>
            <w:pPr>
              <w:spacing w:after="0" w:before="0" w:line="240" w:lineRule="auto"/>
              <w:jc w:val="left"/>
            </w:pPr>
            <w:r/>
            <w:r>
              <w:rPr>
                <w:rFonts w:ascii="Cambria" w:hAnsi="Cambria"/>
                <w:b w:val="0"/>
                <w:i w:val="0"/>
                <w:color w:val="000000"/>
                <w:sz w:val="17"/>
              </w:rPr>
              <w:t>Verify implementation</w:t>
            </w:r>
          </w:p>
        </w:tc>
        <w:tc>
          <w:tcPr>
            <w:tcW w:type="dxa" w:w="6336"/>
            <w:vAlign w:val="center"/>
          </w:tcPr>
          <w:p>
            <w:pPr>
              <w:spacing w:after="0" w:before="0" w:line="240" w:lineRule="auto"/>
              <w:jc w:val="left"/>
            </w:pPr>
            <w:r/>
            <w:r>
              <w:rPr>
                <w:rFonts w:ascii="Cambria" w:hAnsi="Cambria"/>
                <w:b w:val="0"/>
                <w:i w:val="0"/>
                <w:color w:val="000000"/>
                <w:sz w:val="17"/>
              </w:rPr>
              <w:t>Independent checks that controls and the hazard control plan are implemented and effective.</w:t>
            </w:r>
          </w:p>
        </w:tc>
      </w:tr>
      <w:tr>
        <w:trPr>
          <w:cantSplit/>
        </w:trPr>
        <w:tc>
          <w:tcPr>
            <w:tcW w:type="dxa" w:w="2951"/>
            <w:vAlign w:val="center"/>
          </w:tcPr>
          <w:p>
            <w:pPr>
              <w:spacing w:after="0" w:before="0" w:line="240" w:lineRule="auto"/>
              <w:jc w:val="left"/>
            </w:pPr>
            <w:r/>
            <w:r>
              <w:rPr>
                <w:rFonts w:ascii="Cambria" w:hAnsi="Cambria"/>
                <w:b w:val="0"/>
                <w:i w:val="0"/>
                <w:color w:val="000000"/>
                <w:sz w:val="17"/>
              </w:rPr>
              <w:t>Update</w:t>
            </w:r>
          </w:p>
        </w:tc>
        <w:tc>
          <w:tcPr>
            <w:tcW w:type="dxa" w:w="6336"/>
            <w:vAlign w:val="center"/>
          </w:tcPr>
          <w:p>
            <w:pPr>
              <w:spacing w:after="0" w:before="0" w:line="240" w:lineRule="auto"/>
              <w:jc w:val="left"/>
            </w:pPr>
            <w:r/>
            <w:r>
              <w:rPr>
                <w:rFonts w:ascii="Cambria" w:hAnsi="Cambria"/>
                <w:b w:val="0"/>
                <w:i w:val="0"/>
                <w:color w:val="000000"/>
                <w:sz w:val="17"/>
              </w:rPr>
              <w:t>Controlled revision when inputs, results, incidents or new information indicate change is needed.</w:t>
            </w:r>
          </w:p>
        </w:tc>
      </w:tr>
    </w:tbl>
    <w:p>
      <w:pPr>
        <w:pStyle w:val="Heading1"/>
        <w:keepNext/>
      </w:pPr>
      <w:r>
        <w:t>7. Monitoring, Correction and Corrective Action</w:t>
      </w:r>
    </w:p>
    <w:tbl>
      <w:tblPr>
        <w:tblStyle w:val="TableGrid"/>
        <w:tblW w:type="auto" w:w="0"/>
        <w:jc w:val="center"/>
        <w:tblLayout w:type="fixed"/>
        <w:tblLook w:val="04A0"/>
      </w:tblPr>
      <w:tblGrid>
        <w:gridCol w:w="4677"/>
        <w:gridCol w:w="4677"/>
      </w:tblGrid>
      <w:tr>
        <w:trPr>
          <w:cantSplit/>
          <w:tblHeader w:val="true"/>
        </w:trPr>
        <w:tc>
          <w:tcPr>
            <w:tcW w:type="dxa" w:w="3168"/>
            <w:vAlign w:val="center"/>
            <w:shd w:fill="D9EAF7" w:val="clear"/>
          </w:tcPr>
          <w:p>
            <w:pPr>
              <w:spacing w:after="0" w:before="0" w:line="240" w:lineRule="auto"/>
              <w:jc w:val="center"/>
            </w:pPr>
            <w:r/>
            <w:r>
              <w:rPr>
                <w:rFonts w:ascii="Cambria" w:hAnsi="Cambria"/>
                <w:b/>
                <w:i w:val="0"/>
                <w:color w:val="000000"/>
                <w:sz w:val="17"/>
              </w:rPr>
              <w:t>Situation</w:t>
            </w:r>
          </w:p>
        </w:tc>
        <w:tc>
          <w:tcPr>
            <w:tcW w:type="dxa" w:w="6120"/>
            <w:vAlign w:val="center"/>
            <w:shd w:fill="D9EAF7" w:val="clear"/>
          </w:tcPr>
          <w:p>
            <w:pPr>
              <w:spacing w:after="0" w:before="0" w:line="240" w:lineRule="auto"/>
              <w:jc w:val="center"/>
            </w:pPr>
            <w:r/>
            <w:r>
              <w:rPr>
                <w:rFonts w:ascii="Cambria" w:hAnsi="Cambria"/>
                <w:b/>
                <w:i w:val="0"/>
                <w:color w:val="000000"/>
                <w:sz w:val="17"/>
              </w:rPr>
              <w:t>Required Management Response</w:t>
            </w:r>
          </w:p>
        </w:tc>
      </w:tr>
      <w:tr>
        <w:trPr>
          <w:cantSplit/>
        </w:trPr>
        <w:tc>
          <w:tcPr>
            <w:tcW w:type="dxa" w:w="3168"/>
            <w:vAlign w:val="center"/>
          </w:tcPr>
          <w:p>
            <w:pPr>
              <w:spacing w:after="0" w:before="0" w:line="240" w:lineRule="auto"/>
              <w:jc w:val="left"/>
            </w:pPr>
            <w:r/>
            <w:r>
              <w:rPr>
                <w:rFonts w:ascii="Cambria" w:hAnsi="Cambria"/>
                <w:b w:val="0"/>
                <w:i w:val="0"/>
                <w:color w:val="000000"/>
                <w:sz w:val="17"/>
              </w:rPr>
              <w:t>Monitoring result outside defined criterion / limit</w:t>
            </w:r>
          </w:p>
        </w:tc>
        <w:tc>
          <w:tcPr>
            <w:tcW w:type="dxa" w:w="6120"/>
            <w:vAlign w:val="center"/>
          </w:tcPr>
          <w:p>
            <w:pPr>
              <w:spacing w:after="0" w:before="0" w:line="240" w:lineRule="auto"/>
              <w:jc w:val="left"/>
            </w:pPr>
            <w:r/>
            <w:r>
              <w:rPr>
                <w:rFonts w:ascii="Cambria" w:hAnsi="Cambria"/>
                <w:b w:val="0"/>
                <w:i w:val="0"/>
                <w:color w:val="000000"/>
                <w:sz w:val="17"/>
              </w:rPr>
              <w:t>Apply immediate control / correction, evaluate affected product and restore control.</w:t>
            </w:r>
          </w:p>
        </w:tc>
      </w:tr>
      <w:tr>
        <w:trPr>
          <w:cantSplit/>
        </w:trPr>
        <w:tc>
          <w:tcPr>
            <w:tcW w:type="dxa" w:w="3168"/>
            <w:vAlign w:val="center"/>
          </w:tcPr>
          <w:p>
            <w:pPr>
              <w:spacing w:after="0" w:before="0" w:line="240" w:lineRule="auto"/>
              <w:jc w:val="left"/>
            </w:pPr>
            <w:r/>
            <w:r>
              <w:rPr>
                <w:rFonts w:ascii="Cambria" w:hAnsi="Cambria"/>
                <w:b w:val="0"/>
                <w:i w:val="0"/>
                <w:color w:val="000000"/>
                <w:sz w:val="17"/>
              </w:rPr>
              <w:t>Potentially unsafe product</w:t>
            </w:r>
          </w:p>
        </w:tc>
        <w:tc>
          <w:tcPr>
            <w:tcW w:type="dxa" w:w="6120"/>
            <w:vAlign w:val="center"/>
          </w:tcPr>
          <w:p>
            <w:pPr>
              <w:spacing w:after="0" w:before="0" w:line="240" w:lineRule="auto"/>
              <w:jc w:val="left"/>
            </w:pPr>
            <w:r/>
            <w:r>
              <w:rPr>
                <w:rFonts w:ascii="Cambria" w:hAnsi="Cambria"/>
                <w:b w:val="0"/>
                <w:i w:val="0"/>
                <w:color w:val="000000"/>
                <w:sz w:val="17"/>
              </w:rPr>
              <w:t>Identify, segregate / control and evaluate before release, rework, diversion or disposal as applicable.</w:t>
            </w:r>
          </w:p>
        </w:tc>
      </w:tr>
      <w:tr>
        <w:trPr>
          <w:cantSplit/>
        </w:trPr>
        <w:tc>
          <w:tcPr>
            <w:tcW w:type="dxa" w:w="3168"/>
            <w:vAlign w:val="center"/>
          </w:tcPr>
          <w:p>
            <w:pPr>
              <w:spacing w:after="0" w:before="0" w:line="240" w:lineRule="auto"/>
              <w:jc w:val="left"/>
            </w:pPr>
            <w:r/>
            <w:r>
              <w:rPr>
                <w:rFonts w:ascii="Cambria" w:hAnsi="Cambria"/>
                <w:b w:val="0"/>
                <w:i w:val="0"/>
                <w:color w:val="000000"/>
                <w:sz w:val="17"/>
              </w:rPr>
              <w:t>Recurring or systemic failure</w:t>
            </w:r>
          </w:p>
        </w:tc>
        <w:tc>
          <w:tcPr>
            <w:tcW w:type="dxa" w:w="6120"/>
            <w:vAlign w:val="center"/>
          </w:tcPr>
          <w:p>
            <w:pPr>
              <w:spacing w:after="0" w:before="0" w:line="240" w:lineRule="auto"/>
              <w:jc w:val="left"/>
            </w:pPr>
            <w:r/>
            <w:r>
              <w:rPr>
                <w:rFonts w:ascii="Cambria" w:hAnsi="Cambria"/>
                <w:b w:val="0"/>
                <w:i w:val="0"/>
                <w:color w:val="000000"/>
                <w:sz w:val="17"/>
              </w:rPr>
              <w:t>Investigate cause, implement corrective action and verify effectiveness.</w:t>
            </w:r>
          </w:p>
        </w:tc>
      </w:tr>
      <w:tr>
        <w:trPr>
          <w:cantSplit/>
        </w:trPr>
        <w:tc>
          <w:tcPr>
            <w:tcW w:type="dxa" w:w="3168"/>
            <w:vAlign w:val="center"/>
          </w:tcPr>
          <w:p>
            <w:pPr>
              <w:spacing w:after="0" w:before="0" w:line="240" w:lineRule="auto"/>
              <w:jc w:val="left"/>
            </w:pPr>
            <w:r/>
            <w:r>
              <w:rPr>
                <w:rFonts w:ascii="Cambria" w:hAnsi="Cambria"/>
                <w:b w:val="0"/>
                <w:i w:val="0"/>
                <w:color w:val="000000"/>
                <w:sz w:val="17"/>
              </w:rPr>
              <w:t>Evidence that control measure is ineffective</w:t>
            </w:r>
          </w:p>
        </w:tc>
        <w:tc>
          <w:tcPr>
            <w:tcW w:type="dxa" w:w="6120"/>
            <w:vAlign w:val="center"/>
          </w:tcPr>
          <w:p>
            <w:pPr>
              <w:spacing w:after="0" w:before="0" w:line="240" w:lineRule="auto"/>
              <w:jc w:val="left"/>
            </w:pPr>
            <w:r/>
            <w:r>
              <w:rPr>
                <w:rFonts w:ascii="Cambria" w:hAnsi="Cambria"/>
                <w:b w:val="0"/>
                <w:i w:val="0"/>
                <w:color w:val="000000"/>
                <w:sz w:val="17"/>
              </w:rPr>
              <w:t>Escalate promptly; reassess hazard analysis / control measures and validate revised controls where required.</w:t>
            </w:r>
          </w:p>
        </w:tc>
      </w:tr>
      <w:tr>
        <w:trPr>
          <w:cantSplit/>
        </w:trPr>
        <w:tc>
          <w:tcPr>
            <w:tcW w:type="dxa" w:w="3168"/>
            <w:vAlign w:val="center"/>
          </w:tcPr>
          <w:p>
            <w:pPr>
              <w:spacing w:after="0" w:before="0" w:line="240" w:lineRule="auto"/>
              <w:jc w:val="left"/>
            </w:pPr>
            <w:r/>
            <w:r>
              <w:rPr>
                <w:rFonts w:ascii="Cambria" w:hAnsi="Cambria"/>
                <w:b w:val="0"/>
                <w:i w:val="0"/>
                <w:color w:val="000000"/>
                <w:sz w:val="17"/>
              </w:rPr>
              <w:t>Record or monitoring system failure</w:t>
            </w:r>
          </w:p>
        </w:tc>
        <w:tc>
          <w:tcPr>
            <w:tcW w:type="dxa" w:w="6120"/>
            <w:vAlign w:val="center"/>
          </w:tcPr>
          <w:p>
            <w:pPr>
              <w:spacing w:after="0" w:before="0" w:line="240" w:lineRule="auto"/>
              <w:jc w:val="left"/>
            </w:pPr>
            <w:r/>
            <w:r>
              <w:rPr>
                <w:rFonts w:ascii="Cambria" w:hAnsi="Cambria"/>
                <w:b w:val="0"/>
                <w:i w:val="0"/>
                <w:color w:val="000000"/>
                <w:sz w:val="17"/>
              </w:rPr>
              <w:t>Use approved contingency controls and assess whether food safety evidence remains sufficient.</w:t>
            </w:r>
          </w:p>
        </w:tc>
      </w:tr>
    </w:tbl>
    <w:p>
      <w:pPr>
        <w:pStyle w:val="Heading1"/>
        <w:keepNext/>
      </w:pPr>
      <w:r>
        <w:t>8. Traceability, Emergency Preparedness and Withdrawal / Recall</w:t>
      </w:r>
    </w:p>
    <w:p>
      <w:pPr>
        <w:pStyle w:val="ListBullet"/>
        <w:spacing w:after="40"/>
        <w:ind w:left="340" w:hanging="170"/>
      </w:pPr>
      <w:r>
        <w:rPr>
          <w:rFonts w:ascii="Cambria" w:hAnsi="Cambria"/>
          <w:b w:val="0"/>
          <w:i w:val="0"/>
          <w:color w:val="000000"/>
          <w:sz w:val="20"/>
        </w:rPr>
        <w:t>Define traceability to the level needed to identify incoming materials, processing / transformation history as relevant, and distribution of affected product.</w:t>
      </w:r>
    </w:p>
    <w:p>
      <w:pPr>
        <w:pStyle w:val="ListBullet"/>
        <w:spacing w:after="40"/>
        <w:ind w:left="340" w:hanging="170"/>
      </w:pPr>
      <w:r>
        <w:rPr>
          <w:rFonts w:ascii="Cambria" w:hAnsi="Cambria"/>
          <w:b w:val="0"/>
          <w:i w:val="0"/>
          <w:color w:val="000000"/>
          <w:sz w:val="20"/>
        </w:rPr>
        <w:t>Test traceability periodically using actual records and reconcile quantities sufficiently to identify unexplained gaps.</w:t>
      </w:r>
    </w:p>
    <w:p>
      <w:pPr>
        <w:pStyle w:val="ListBullet"/>
        <w:spacing w:after="40"/>
        <w:ind w:left="340" w:hanging="170"/>
      </w:pPr>
      <w:r>
        <w:rPr>
          <w:rFonts w:ascii="Cambria" w:hAnsi="Cambria"/>
          <w:b w:val="0"/>
          <w:i w:val="0"/>
          <w:color w:val="000000"/>
          <w:sz w:val="20"/>
        </w:rPr>
        <w:t>Define food safety emergency scenarios, authority, communication and business-continuity controls.</w:t>
      </w:r>
    </w:p>
    <w:p>
      <w:pPr>
        <w:pStyle w:val="ListBullet"/>
        <w:spacing w:after="40"/>
        <w:ind w:left="340" w:hanging="170"/>
      </w:pPr>
      <w:r>
        <w:rPr>
          <w:rFonts w:ascii="Cambria" w:hAnsi="Cambria"/>
          <w:b w:val="0"/>
          <w:i w:val="0"/>
          <w:color w:val="000000"/>
          <w:sz w:val="20"/>
        </w:rPr>
        <w:t>Maintain a controlled process for withdrawal / recall, including decision authority, affected-product identification, customer / authority communication, effectiveness checks and retained records.</w:t>
      </w:r>
    </w:p>
    <w:p>
      <w:pPr>
        <w:pStyle w:val="ListBullet"/>
        <w:spacing w:after="40"/>
        <w:ind w:left="340" w:hanging="170"/>
      </w:pPr>
      <w:r>
        <w:rPr>
          <w:rFonts w:ascii="Cambria" w:hAnsi="Cambria"/>
          <w:b w:val="0"/>
          <w:i w:val="0"/>
          <w:color w:val="000000"/>
          <w:sz w:val="20"/>
        </w:rPr>
        <w:t>Use mock exercises and incident reviews to update the FSMS.</w:t>
      </w:r>
    </w:p>
    <w:p>
      <w:pPr>
        <w:pStyle w:val="Heading1"/>
        <w:keepNext/>
      </w:pPr>
      <w:r>
        <w:t>9. External Providers and Purchased Materials / Services</w:t>
      </w:r>
    </w:p>
    <w:tbl>
      <w:tblPr>
        <w:tblStyle w:val="TableGrid"/>
        <w:tblW w:type="auto" w:w="0"/>
        <w:jc w:val="center"/>
        <w:tblLayout w:type="fixed"/>
        <w:tblLook w:val="04A0"/>
      </w:tblPr>
      <w:tblGrid>
        <w:gridCol w:w="4677"/>
        <w:gridCol w:w="4677"/>
      </w:tblGrid>
      <w:tr>
        <w:trPr>
          <w:cantSplit/>
          <w:tblHeader w:val="true"/>
        </w:trPr>
        <w:tc>
          <w:tcPr>
            <w:tcW w:type="dxa" w:w="2232"/>
            <w:vAlign w:val="center"/>
            <w:shd w:fill="D9EAF7" w:val="clear"/>
          </w:tcPr>
          <w:p>
            <w:pPr>
              <w:spacing w:after="0" w:before="0" w:line="240" w:lineRule="auto"/>
              <w:jc w:val="center"/>
            </w:pPr>
            <w:r/>
            <w:r>
              <w:rPr>
                <w:rFonts w:ascii="Cambria" w:hAnsi="Cambria"/>
                <w:b/>
                <w:i w:val="0"/>
                <w:color w:val="000000"/>
                <w:sz w:val="17"/>
              </w:rPr>
              <w:t>Control Step</w:t>
            </w:r>
          </w:p>
        </w:tc>
        <w:tc>
          <w:tcPr>
            <w:tcW w:type="dxa" w:w="7056"/>
            <w:vAlign w:val="center"/>
            <w:shd w:fill="D9EAF7" w:val="clear"/>
          </w:tcPr>
          <w:p>
            <w:pPr>
              <w:spacing w:after="0" w:before="0" w:line="240" w:lineRule="auto"/>
              <w:jc w:val="center"/>
            </w:pPr>
            <w:r/>
            <w:r>
              <w:rPr>
                <w:rFonts w:ascii="Cambria" w:hAnsi="Cambria"/>
                <w:b/>
                <w:i w:val="0"/>
                <w:color w:val="000000"/>
                <w:sz w:val="17"/>
              </w:rPr>
              <w:t>Guidance</w:t>
            </w:r>
          </w:p>
        </w:tc>
      </w:tr>
      <w:tr>
        <w:trPr>
          <w:cantSplit/>
        </w:trPr>
        <w:tc>
          <w:tcPr>
            <w:tcW w:type="dxa" w:w="2232"/>
            <w:vAlign w:val="center"/>
          </w:tcPr>
          <w:p>
            <w:pPr>
              <w:spacing w:after="0" w:before="0" w:line="240" w:lineRule="auto"/>
              <w:jc w:val="left"/>
            </w:pPr>
            <w:r/>
            <w:r>
              <w:rPr>
                <w:rFonts w:ascii="Cambria" w:hAnsi="Cambria"/>
                <w:b w:val="0"/>
                <w:i w:val="0"/>
                <w:color w:val="000000"/>
                <w:sz w:val="17"/>
              </w:rPr>
              <w:t>Define requirements</w:t>
            </w:r>
          </w:p>
        </w:tc>
        <w:tc>
          <w:tcPr>
            <w:tcW w:type="dxa" w:w="7056"/>
            <w:vAlign w:val="center"/>
          </w:tcPr>
          <w:p>
            <w:pPr>
              <w:spacing w:after="0" w:before="0" w:line="240" w:lineRule="auto"/>
              <w:jc w:val="left"/>
            </w:pPr>
            <w:r/>
            <w:r>
              <w:rPr>
                <w:rFonts w:ascii="Cambria" w:hAnsi="Cambria"/>
                <w:b w:val="0"/>
                <w:i w:val="0"/>
                <w:color w:val="000000"/>
                <w:sz w:val="17"/>
              </w:rPr>
              <w:t>Specify food safety, legal, allergen, microbiological / chemical, traceability, transport and documentation requirements as applicable.</w:t>
            </w:r>
          </w:p>
        </w:tc>
      </w:tr>
      <w:tr>
        <w:trPr>
          <w:cantSplit/>
        </w:trPr>
        <w:tc>
          <w:tcPr>
            <w:tcW w:type="dxa" w:w="2232"/>
            <w:vAlign w:val="center"/>
          </w:tcPr>
          <w:p>
            <w:pPr>
              <w:spacing w:after="0" w:before="0" w:line="240" w:lineRule="auto"/>
              <w:jc w:val="left"/>
            </w:pPr>
            <w:r/>
            <w:r>
              <w:rPr>
                <w:rFonts w:ascii="Cambria" w:hAnsi="Cambria"/>
                <w:b w:val="0"/>
                <w:i w:val="0"/>
                <w:color w:val="000000"/>
                <w:sz w:val="17"/>
              </w:rPr>
              <w:t>Approve providers</w:t>
            </w:r>
          </w:p>
        </w:tc>
        <w:tc>
          <w:tcPr>
            <w:tcW w:type="dxa" w:w="7056"/>
            <w:vAlign w:val="center"/>
          </w:tcPr>
          <w:p>
            <w:pPr>
              <w:spacing w:after="0" w:before="0" w:line="240" w:lineRule="auto"/>
              <w:jc w:val="left"/>
            </w:pPr>
            <w:r/>
            <w:r>
              <w:rPr>
                <w:rFonts w:ascii="Cambria" w:hAnsi="Cambria"/>
                <w:b w:val="0"/>
                <w:i w:val="0"/>
                <w:color w:val="000000"/>
                <w:sz w:val="17"/>
              </w:rPr>
              <w:t>Use risk-based evaluation of capability and compliance before reliance on critical suppliers / outsourced services.</w:t>
            </w:r>
          </w:p>
        </w:tc>
      </w:tr>
      <w:tr>
        <w:trPr>
          <w:cantSplit/>
        </w:trPr>
        <w:tc>
          <w:tcPr>
            <w:tcW w:type="dxa" w:w="2232"/>
            <w:vAlign w:val="center"/>
          </w:tcPr>
          <w:p>
            <w:pPr>
              <w:spacing w:after="0" w:before="0" w:line="240" w:lineRule="auto"/>
              <w:jc w:val="left"/>
            </w:pPr>
            <w:r/>
            <w:r>
              <w:rPr>
                <w:rFonts w:ascii="Cambria" w:hAnsi="Cambria"/>
                <w:b w:val="0"/>
                <w:i w:val="0"/>
                <w:color w:val="000000"/>
                <w:sz w:val="17"/>
              </w:rPr>
              <w:t>Monitor performance</w:t>
            </w:r>
          </w:p>
        </w:tc>
        <w:tc>
          <w:tcPr>
            <w:tcW w:type="dxa" w:w="7056"/>
            <w:vAlign w:val="center"/>
          </w:tcPr>
          <w:p>
            <w:pPr>
              <w:spacing w:after="0" w:before="0" w:line="240" w:lineRule="auto"/>
              <w:jc w:val="left"/>
            </w:pPr>
            <w:r/>
            <w:r>
              <w:rPr>
                <w:rFonts w:ascii="Cambria" w:hAnsi="Cambria"/>
                <w:b w:val="0"/>
                <w:i w:val="0"/>
                <w:color w:val="000000"/>
                <w:sz w:val="17"/>
              </w:rPr>
              <w:t>Use incoming results, complaints, incidents, audit results, certificates and service performance relevant to food safety.</w:t>
            </w:r>
          </w:p>
        </w:tc>
      </w:tr>
      <w:tr>
        <w:trPr>
          <w:cantSplit/>
        </w:trPr>
        <w:tc>
          <w:tcPr>
            <w:tcW w:type="dxa" w:w="2232"/>
            <w:vAlign w:val="center"/>
          </w:tcPr>
          <w:p>
            <w:pPr>
              <w:spacing w:after="0" w:before="0" w:line="240" w:lineRule="auto"/>
              <w:jc w:val="left"/>
            </w:pPr>
            <w:r/>
            <w:r>
              <w:rPr>
                <w:rFonts w:ascii="Cambria" w:hAnsi="Cambria"/>
                <w:b w:val="0"/>
                <w:i w:val="0"/>
                <w:color w:val="000000"/>
                <w:sz w:val="17"/>
              </w:rPr>
              <w:t>Escalate poor performance</w:t>
            </w:r>
          </w:p>
        </w:tc>
        <w:tc>
          <w:tcPr>
            <w:tcW w:type="dxa" w:w="7056"/>
            <w:vAlign w:val="center"/>
          </w:tcPr>
          <w:p>
            <w:pPr>
              <w:spacing w:after="0" w:before="0" w:line="240" w:lineRule="auto"/>
              <w:jc w:val="left"/>
            </w:pPr>
            <w:r/>
            <w:r>
              <w:rPr>
                <w:rFonts w:ascii="Cambria" w:hAnsi="Cambria"/>
                <w:b w:val="0"/>
                <w:i w:val="0"/>
                <w:color w:val="000000"/>
                <w:sz w:val="17"/>
              </w:rPr>
              <w:t>Increase verification, require corrective action, restrict supply or re-source based on risk.</w:t>
            </w:r>
          </w:p>
        </w:tc>
      </w:tr>
      <w:tr>
        <w:trPr>
          <w:cantSplit/>
        </w:trPr>
        <w:tc>
          <w:tcPr>
            <w:tcW w:type="dxa" w:w="2232"/>
            <w:vAlign w:val="center"/>
          </w:tcPr>
          <w:p>
            <w:pPr>
              <w:spacing w:after="0" w:before="0" w:line="240" w:lineRule="auto"/>
              <w:jc w:val="left"/>
            </w:pPr>
            <w:r/>
            <w:r>
              <w:rPr>
                <w:rFonts w:ascii="Cambria" w:hAnsi="Cambria"/>
                <w:b w:val="0"/>
                <w:i w:val="0"/>
                <w:color w:val="000000"/>
                <w:sz w:val="17"/>
              </w:rPr>
              <w:t>Control changes</w:t>
            </w:r>
          </w:p>
        </w:tc>
        <w:tc>
          <w:tcPr>
            <w:tcW w:type="dxa" w:w="7056"/>
            <w:vAlign w:val="center"/>
          </w:tcPr>
          <w:p>
            <w:pPr>
              <w:spacing w:after="0" w:before="0" w:line="240" w:lineRule="auto"/>
              <w:jc w:val="left"/>
            </w:pPr>
            <w:r/>
            <w:r>
              <w:rPr>
                <w:rFonts w:ascii="Cambria" w:hAnsi="Cambria"/>
                <w:b w:val="0"/>
                <w:i w:val="0"/>
                <w:color w:val="000000"/>
                <w:sz w:val="17"/>
              </w:rPr>
              <w:t>Require notification and assessment of significant material, process, site, formulation or specification changes where relevant.</w:t>
            </w:r>
          </w:p>
        </w:tc>
      </w:tr>
    </w:tbl>
    <w:p>
      <w:pPr>
        <w:pStyle w:val="Heading1"/>
        <w:keepNext/>
      </w:pPr>
      <w:r>
        <w:t>10. Support Processes</w:t>
      </w:r>
    </w:p>
    <w:tbl>
      <w:tblPr>
        <w:tblStyle w:val="TableGrid"/>
        <w:tblW w:type="auto" w:w="0"/>
        <w:jc w:val="center"/>
        <w:tblLayout w:type="fixed"/>
        <w:tblLook w:val="04A0"/>
      </w:tblPr>
      <w:tblGrid>
        <w:gridCol w:w="4677"/>
        <w:gridCol w:w="4677"/>
      </w:tblGrid>
      <w:tr>
        <w:trPr>
          <w:cantSplit/>
          <w:tblHeader w:val="true"/>
        </w:trPr>
        <w:tc>
          <w:tcPr>
            <w:tcW w:type="dxa" w:w="2376"/>
            <w:vAlign w:val="center"/>
            <w:shd w:fill="D9EAF7" w:val="clear"/>
          </w:tcPr>
          <w:p>
            <w:pPr>
              <w:spacing w:after="0" w:before="0" w:line="240" w:lineRule="auto"/>
              <w:jc w:val="center"/>
            </w:pPr>
            <w:r/>
            <w:r>
              <w:rPr>
                <w:rFonts w:ascii="Cambria" w:hAnsi="Cambria"/>
                <w:b/>
                <w:i w:val="0"/>
                <w:color w:val="000000"/>
                <w:sz w:val="17"/>
              </w:rPr>
              <w:t>Support Area</w:t>
            </w:r>
          </w:p>
        </w:tc>
        <w:tc>
          <w:tcPr>
            <w:tcW w:type="dxa" w:w="6912"/>
            <w:vAlign w:val="center"/>
            <w:shd w:fill="D9EAF7" w:val="clear"/>
          </w:tcPr>
          <w:p>
            <w:pPr>
              <w:spacing w:after="0" w:before="0" w:line="240" w:lineRule="auto"/>
              <w:jc w:val="center"/>
            </w:pPr>
            <w:r/>
            <w:r>
              <w:rPr>
                <w:rFonts w:ascii="Cambria" w:hAnsi="Cambria"/>
                <w:b/>
                <w:i w:val="0"/>
                <w:color w:val="000000"/>
                <w:sz w:val="17"/>
              </w:rPr>
              <w:t>Minimum Operating Expectation</w:t>
            </w:r>
          </w:p>
        </w:tc>
      </w:tr>
      <w:tr>
        <w:trPr>
          <w:cantSplit/>
        </w:trPr>
        <w:tc>
          <w:tcPr>
            <w:tcW w:type="dxa" w:w="2376"/>
            <w:vAlign w:val="center"/>
          </w:tcPr>
          <w:p>
            <w:pPr>
              <w:spacing w:after="0" w:before="0" w:line="240" w:lineRule="auto"/>
              <w:jc w:val="left"/>
            </w:pPr>
            <w:r/>
            <w:r>
              <w:rPr>
                <w:rFonts w:ascii="Cambria" w:hAnsi="Cambria"/>
                <w:b w:val="0"/>
                <w:i w:val="0"/>
                <w:color w:val="000000"/>
                <w:sz w:val="17"/>
              </w:rPr>
              <w:t>Competence</w:t>
            </w:r>
          </w:p>
        </w:tc>
        <w:tc>
          <w:tcPr>
            <w:tcW w:type="dxa" w:w="6912"/>
            <w:vAlign w:val="center"/>
          </w:tcPr>
          <w:p>
            <w:pPr>
              <w:spacing w:after="0" w:before="0" w:line="240" w:lineRule="auto"/>
              <w:jc w:val="left"/>
            </w:pPr>
            <w:r/>
            <w:r>
              <w:rPr>
                <w:rFonts w:ascii="Cambria" w:hAnsi="Cambria"/>
                <w:b w:val="0"/>
                <w:i w:val="0"/>
                <w:color w:val="000000"/>
                <w:sz w:val="17"/>
              </w:rPr>
              <w:t>People performing food-safety-relevant tasks are competent based on education, training, skills or experience; effectiveness is verified where appropriate.</w:t>
            </w:r>
          </w:p>
        </w:tc>
      </w:tr>
      <w:tr>
        <w:trPr>
          <w:cantSplit/>
        </w:trPr>
        <w:tc>
          <w:tcPr>
            <w:tcW w:type="dxa" w:w="2376"/>
            <w:vAlign w:val="center"/>
          </w:tcPr>
          <w:p>
            <w:pPr>
              <w:spacing w:after="0" w:before="0" w:line="240" w:lineRule="auto"/>
              <w:jc w:val="left"/>
            </w:pPr>
            <w:r/>
            <w:r>
              <w:rPr>
                <w:rFonts w:ascii="Cambria" w:hAnsi="Cambria"/>
                <w:b w:val="0"/>
                <w:i w:val="0"/>
                <w:color w:val="000000"/>
                <w:sz w:val="17"/>
              </w:rPr>
              <w:t>Communication</w:t>
            </w:r>
          </w:p>
        </w:tc>
        <w:tc>
          <w:tcPr>
            <w:tcW w:type="dxa" w:w="6912"/>
            <w:vAlign w:val="center"/>
          </w:tcPr>
          <w:p>
            <w:pPr>
              <w:spacing w:after="0" w:before="0" w:line="240" w:lineRule="auto"/>
              <w:jc w:val="left"/>
            </w:pPr>
            <w:r/>
            <w:r>
              <w:rPr>
                <w:rFonts w:ascii="Cambria" w:hAnsi="Cambria"/>
                <w:b w:val="0"/>
                <w:i w:val="0"/>
                <w:color w:val="000000"/>
                <w:sz w:val="17"/>
              </w:rPr>
              <w:t>Define what, when, with whom and how food safety information is communicated internally and externally.</w:t>
            </w:r>
          </w:p>
        </w:tc>
      </w:tr>
      <w:tr>
        <w:trPr>
          <w:cantSplit/>
        </w:trPr>
        <w:tc>
          <w:tcPr>
            <w:tcW w:type="dxa" w:w="2376"/>
            <w:vAlign w:val="center"/>
          </w:tcPr>
          <w:p>
            <w:pPr>
              <w:spacing w:after="0" w:before="0" w:line="240" w:lineRule="auto"/>
              <w:jc w:val="left"/>
            </w:pPr>
            <w:r/>
            <w:r>
              <w:rPr>
                <w:rFonts w:ascii="Cambria" w:hAnsi="Cambria"/>
                <w:b w:val="0"/>
                <w:i w:val="0"/>
                <w:color w:val="000000"/>
                <w:sz w:val="17"/>
              </w:rPr>
              <w:t>Infrastructure / environment</w:t>
            </w:r>
          </w:p>
        </w:tc>
        <w:tc>
          <w:tcPr>
            <w:tcW w:type="dxa" w:w="6912"/>
            <w:vAlign w:val="center"/>
          </w:tcPr>
          <w:p>
            <w:pPr>
              <w:spacing w:after="0" w:before="0" w:line="240" w:lineRule="auto"/>
              <w:jc w:val="left"/>
            </w:pPr>
            <w:r/>
            <w:r>
              <w:rPr>
                <w:rFonts w:ascii="Cambria" w:hAnsi="Cambria"/>
                <w:b w:val="0"/>
                <w:i w:val="0"/>
                <w:color w:val="000000"/>
                <w:sz w:val="17"/>
              </w:rPr>
              <w:t>Facilities, equipment, utilities and work environment support hygienic and controlled operations.</w:t>
            </w:r>
          </w:p>
        </w:tc>
      </w:tr>
      <w:tr>
        <w:trPr>
          <w:cantSplit/>
        </w:trPr>
        <w:tc>
          <w:tcPr>
            <w:tcW w:type="dxa" w:w="2376"/>
            <w:vAlign w:val="center"/>
          </w:tcPr>
          <w:p>
            <w:pPr>
              <w:spacing w:after="0" w:before="0" w:line="240" w:lineRule="auto"/>
              <w:jc w:val="left"/>
            </w:pPr>
            <w:r/>
            <w:r>
              <w:rPr>
                <w:rFonts w:ascii="Cambria" w:hAnsi="Cambria"/>
                <w:b w:val="0"/>
                <w:i w:val="0"/>
                <w:color w:val="000000"/>
                <w:sz w:val="17"/>
              </w:rPr>
              <w:t>Monitoring / measuring resources</w:t>
            </w:r>
          </w:p>
        </w:tc>
        <w:tc>
          <w:tcPr>
            <w:tcW w:type="dxa" w:w="6912"/>
            <w:vAlign w:val="center"/>
          </w:tcPr>
          <w:p>
            <w:pPr>
              <w:spacing w:after="0" w:before="0" w:line="240" w:lineRule="auto"/>
              <w:jc w:val="left"/>
            </w:pPr>
            <w:r/>
            <w:r>
              <w:rPr>
                <w:rFonts w:ascii="Cambria" w:hAnsi="Cambria"/>
                <w:b w:val="0"/>
                <w:i w:val="0"/>
                <w:color w:val="000000"/>
                <w:sz w:val="17"/>
              </w:rPr>
              <w:t>Equipment and methods are suitable; calibration / verification and status are controlled as appropriate.</w:t>
            </w:r>
          </w:p>
        </w:tc>
      </w:tr>
      <w:tr>
        <w:trPr>
          <w:cantSplit/>
        </w:trPr>
        <w:tc>
          <w:tcPr>
            <w:tcW w:type="dxa" w:w="2376"/>
            <w:vAlign w:val="center"/>
          </w:tcPr>
          <w:p>
            <w:pPr>
              <w:spacing w:after="0" w:before="0" w:line="240" w:lineRule="auto"/>
              <w:jc w:val="left"/>
            </w:pPr>
            <w:r/>
            <w:r>
              <w:rPr>
                <w:rFonts w:ascii="Cambria" w:hAnsi="Cambria"/>
                <w:b w:val="0"/>
                <w:i w:val="0"/>
                <w:color w:val="000000"/>
                <w:sz w:val="17"/>
              </w:rPr>
              <w:t>Documented information</w:t>
            </w:r>
          </w:p>
        </w:tc>
        <w:tc>
          <w:tcPr>
            <w:tcW w:type="dxa" w:w="6912"/>
            <w:vAlign w:val="center"/>
          </w:tcPr>
          <w:p>
            <w:pPr>
              <w:spacing w:after="0" w:before="0" w:line="240" w:lineRule="auto"/>
              <w:jc w:val="left"/>
            </w:pPr>
            <w:r/>
            <w:r>
              <w:rPr>
                <w:rFonts w:ascii="Cambria" w:hAnsi="Cambria"/>
                <w:b w:val="0"/>
                <w:i w:val="0"/>
                <w:color w:val="000000"/>
                <w:sz w:val="17"/>
              </w:rPr>
              <w:t>Current instructions are available and records are complete, protected, retained and retrievable.</w:t>
            </w:r>
          </w:p>
        </w:tc>
      </w:tr>
    </w:tbl>
    <w:p>
      <w:pPr>
        <w:pStyle w:val="Heading1"/>
        <w:keepNext/>
      </w:pPr>
      <w:r>
        <w:t>11. Verification, Analysis and Evaluation</w:t>
      </w:r>
    </w:p>
    <w:p>
      <w:pPr>
        <w:pStyle w:val="BodyText"/>
      </w:pPr>
      <w:r>
        <w:rPr>
          <w:rFonts w:ascii="Cambria" w:hAnsi="Cambria"/>
          <w:b w:val="0"/>
          <w:i w:val="0"/>
          <w:color w:val="000000"/>
          <w:sz w:val="21"/>
        </w:rPr>
        <w:t>Verification should provide independent confidence that the FSMS is implemented as planned and remains effective. Verification is broader than routine monitoring and should be designed to test the system, not merely repeat the same control.</w:t>
      </w:r>
    </w:p>
    <w:tbl>
      <w:tblPr>
        <w:tblStyle w:val="TableGrid"/>
        <w:tblW w:type="auto" w:w="0"/>
        <w:jc w:val="center"/>
        <w:tblLayout w:type="fixed"/>
        <w:tblLook w:val="04A0"/>
      </w:tblPr>
      <w:tblGrid>
        <w:gridCol w:w="4677"/>
        <w:gridCol w:w="4677"/>
      </w:tblGrid>
      <w:tr>
        <w:trPr>
          <w:cantSplit/>
          <w:tblHeader w:val="true"/>
        </w:trPr>
        <w:tc>
          <w:tcPr>
            <w:tcW w:type="dxa" w:w="2520"/>
            <w:vAlign w:val="center"/>
            <w:shd w:fill="D9EAF7" w:val="clear"/>
          </w:tcPr>
          <w:p>
            <w:pPr>
              <w:spacing w:after="0" w:before="0" w:line="240" w:lineRule="auto"/>
              <w:jc w:val="center"/>
            </w:pPr>
            <w:r/>
            <w:r>
              <w:rPr>
                <w:rFonts w:ascii="Cambria" w:hAnsi="Cambria"/>
                <w:b/>
                <w:i w:val="0"/>
                <w:color w:val="000000"/>
                <w:sz w:val="17"/>
              </w:rPr>
              <w:t>Verification Source</w:t>
            </w:r>
          </w:p>
        </w:tc>
        <w:tc>
          <w:tcPr>
            <w:tcW w:type="dxa" w:w="6768"/>
            <w:vAlign w:val="center"/>
            <w:shd w:fill="D9EAF7" w:val="clear"/>
          </w:tcPr>
          <w:p>
            <w:pPr>
              <w:spacing w:after="0" w:before="0" w:line="240" w:lineRule="auto"/>
              <w:jc w:val="center"/>
            </w:pPr>
            <w:r/>
            <w:r>
              <w:rPr>
                <w:rFonts w:ascii="Cambria" w:hAnsi="Cambria"/>
                <w:b/>
                <w:i w:val="0"/>
                <w:color w:val="000000"/>
                <w:sz w:val="17"/>
              </w:rPr>
              <w:t>Examples of Useful Evaluation</w:t>
            </w:r>
          </w:p>
        </w:tc>
      </w:tr>
      <w:tr>
        <w:trPr>
          <w:cantSplit/>
        </w:trPr>
        <w:tc>
          <w:tcPr>
            <w:tcW w:type="dxa" w:w="2520"/>
            <w:vAlign w:val="center"/>
          </w:tcPr>
          <w:p>
            <w:pPr>
              <w:spacing w:after="0" w:before="0" w:line="240" w:lineRule="auto"/>
              <w:jc w:val="left"/>
            </w:pPr>
            <w:r/>
            <w:r>
              <w:rPr>
                <w:rFonts w:ascii="Cambria" w:hAnsi="Cambria"/>
                <w:b w:val="0"/>
                <w:i w:val="0"/>
                <w:color w:val="000000"/>
                <w:sz w:val="17"/>
              </w:rPr>
              <w:t>PRP verification</w:t>
            </w:r>
          </w:p>
        </w:tc>
        <w:tc>
          <w:tcPr>
            <w:tcW w:type="dxa" w:w="6768"/>
            <w:vAlign w:val="center"/>
          </w:tcPr>
          <w:p>
            <w:pPr>
              <w:spacing w:after="0" w:before="0" w:line="240" w:lineRule="auto"/>
              <w:jc w:val="left"/>
            </w:pPr>
            <w:r/>
            <w:r>
              <w:rPr>
                <w:rFonts w:ascii="Cambria" w:hAnsi="Cambria"/>
                <w:b w:val="0"/>
                <w:i w:val="0"/>
                <w:color w:val="000000"/>
                <w:sz w:val="17"/>
              </w:rPr>
              <w:t>Hygiene inspections, environmental monitoring, sanitation verification, allergen verification, pest trend review.</w:t>
            </w:r>
          </w:p>
        </w:tc>
      </w:tr>
      <w:tr>
        <w:trPr>
          <w:cantSplit/>
        </w:trPr>
        <w:tc>
          <w:tcPr>
            <w:tcW w:type="dxa" w:w="2520"/>
            <w:vAlign w:val="center"/>
          </w:tcPr>
          <w:p>
            <w:pPr>
              <w:spacing w:after="0" w:before="0" w:line="240" w:lineRule="auto"/>
              <w:jc w:val="left"/>
            </w:pPr>
            <w:r/>
            <w:r>
              <w:rPr>
                <w:rFonts w:ascii="Cambria" w:hAnsi="Cambria"/>
                <w:b w:val="0"/>
                <w:i w:val="0"/>
                <w:color w:val="000000"/>
                <w:sz w:val="17"/>
              </w:rPr>
              <w:t>Hazard control verification</w:t>
            </w:r>
          </w:p>
        </w:tc>
        <w:tc>
          <w:tcPr>
            <w:tcW w:type="dxa" w:w="6768"/>
            <w:vAlign w:val="center"/>
          </w:tcPr>
          <w:p>
            <w:pPr>
              <w:spacing w:after="0" w:before="0" w:line="240" w:lineRule="auto"/>
              <w:jc w:val="left"/>
            </w:pPr>
            <w:r/>
            <w:r>
              <w:rPr>
                <w:rFonts w:ascii="Cambria" w:hAnsi="Cambria"/>
                <w:b w:val="0"/>
                <w:i w:val="0"/>
                <w:color w:val="000000"/>
                <w:sz w:val="17"/>
              </w:rPr>
              <w:t>Record review, independent checks, sampling / testing, trend analysis, verification of corrections.</w:t>
            </w:r>
          </w:p>
        </w:tc>
      </w:tr>
      <w:tr>
        <w:trPr>
          <w:cantSplit/>
        </w:trPr>
        <w:tc>
          <w:tcPr>
            <w:tcW w:type="dxa" w:w="2520"/>
            <w:vAlign w:val="center"/>
          </w:tcPr>
          <w:p>
            <w:pPr>
              <w:spacing w:after="0" w:before="0" w:line="240" w:lineRule="auto"/>
              <w:jc w:val="left"/>
            </w:pPr>
            <w:r/>
            <w:r>
              <w:rPr>
                <w:rFonts w:ascii="Cambria" w:hAnsi="Cambria"/>
                <w:b w:val="0"/>
                <w:i w:val="0"/>
                <w:color w:val="000000"/>
                <w:sz w:val="17"/>
              </w:rPr>
              <w:t>Traceability / withdrawal</w:t>
            </w:r>
          </w:p>
        </w:tc>
        <w:tc>
          <w:tcPr>
            <w:tcW w:type="dxa" w:w="6768"/>
            <w:vAlign w:val="center"/>
          </w:tcPr>
          <w:p>
            <w:pPr>
              <w:spacing w:after="0" w:before="0" w:line="240" w:lineRule="auto"/>
              <w:jc w:val="left"/>
            </w:pPr>
            <w:r/>
            <w:r>
              <w:rPr>
                <w:rFonts w:ascii="Cambria" w:hAnsi="Cambria"/>
                <w:b w:val="0"/>
                <w:i w:val="0"/>
                <w:color w:val="000000"/>
                <w:sz w:val="17"/>
              </w:rPr>
              <w:t>Mock exercise timing, completeness, quantity reconciliation and communication effectiveness.</w:t>
            </w:r>
          </w:p>
        </w:tc>
      </w:tr>
      <w:tr>
        <w:trPr>
          <w:cantSplit/>
        </w:trPr>
        <w:tc>
          <w:tcPr>
            <w:tcW w:type="dxa" w:w="2520"/>
            <w:vAlign w:val="center"/>
          </w:tcPr>
          <w:p>
            <w:pPr>
              <w:spacing w:after="0" w:before="0" w:line="240" w:lineRule="auto"/>
              <w:jc w:val="left"/>
            </w:pPr>
            <w:r/>
            <w:r>
              <w:rPr>
                <w:rFonts w:ascii="Cambria" w:hAnsi="Cambria"/>
                <w:b w:val="0"/>
                <w:i w:val="0"/>
                <w:color w:val="000000"/>
                <w:sz w:val="17"/>
              </w:rPr>
              <w:t>Audit</w:t>
            </w:r>
          </w:p>
        </w:tc>
        <w:tc>
          <w:tcPr>
            <w:tcW w:type="dxa" w:w="6768"/>
            <w:vAlign w:val="center"/>
          </w:tcPr>
          <w:p>
            <w:pPr>
              <w:spacing w:after="0" w:before="0" w:line="240" w:lineRule="auto"/>
              <w:jc w:val="left"/>
            </w:pPr>
            <w:r/>
            <w:r>
              <w:rPr>
                <w:rFonts w:ascii="Cambria" w:hAnsi="Cambria"/>
                <w:b w:val="0"/>
                <w:i w:val="0"/>
                <w:color w:val="000000"/>
                <w:sz w:val="17"/>
              </w:rPr>
              <w:t>Conformity, implementation and effectiveness across selected FSMS processes.</w:t>
            </w:r>
          </w:p>
        </w:tc>
      </w:tr>
      <w:tr>
        <w:trPr>
          <w:cantSplit/>
        </w:trPr>
        <w:tc>
          <w:tcPr>
            <w:tcW w:type="dxa" w:w="2520"/>
            <w:vAlign w:val="center"/>
          </w:tcPr>
          <w:p>
            <w:pPr>
              <w:spacing w:after="0" w:before="0" w:line="240" w:lineRule="auto"/>
              <w:jc w:val="left"/>
            </w:pPr>
            <w:r/>
            <w:r>
              <w:rPr>
                <w:rFonts w:ascii="Cambria" w:hAnsi="Cambria"/>
                <w:b w:val="0"/>
                <w:i w:val="0"/>
                <w:color w:val="000000"/>
                <w:sz w:val="17"/>
              </w:rPr>
              <w:t>Data analysis</w:t>
            </w:r>
          </w:p>
        </w:tc>
        <w:tc>
          <w:tcPr>
            <w:tcW w:type="dxa" w:w="6768"/>
            <w:vAlign w:val="center"/>
          </w:tcPr>
          <w:p>
            <w:pPr>
              <w:spacing w:after="0" w:before="0" w:line="240" w:lineRule="auto"/>
              <w:jc w:val="left"/>
            </w:pPr>
            <w:r/>
            <w:r>
              <w:rPr>
                <w:rFonts w:ascii="Cambria" w:hAnsi="Cambria"/>
                <w:b w:val="0"/>
                <w:i w:val="0"/>
                <w:color w:val="000000"/>
                <w:sz w:val="17"/>
              </w:rPr>
              <w:t>Trends in deviations, complaints, supplier issues, audit findings, test results and corrective actions.</w:t>
            </w:r>
          </w:p>
        </w:tc>
      </w:tr>
      <w:tr>
        <w:trPr>
          <w:cantSplit/>
        </w:trPr>
        <w:tc>
          <w:tcPr>
            <w:tcW w:type="dxa" w:w="2520"/>
            <w:vAlign w:val="center"/>
          </w:tcPr>
          <w:p>
            <w:pPr>
              <w:spacing w:after="0" w:before="0" w:line="240" w:lineRule="auto"/>
              <w:jc w:val="left"/>
            </w:pPr>
            <w:r/>
            <w:r>
              <w:rPr>
                <w:rFonts w:ascii="Cambria" w:hAnsi="Cambria"/>
                <w:b w:val="0"/>
                <w:i w:val="0"/>
                <w:color w:val="000000"/>
                <w:sz w:val="17"/>
              </w:rPr>
              <w:t>Management review</w:t>
            </w:r>
          </w:p>
        </w:tc>
        <w:tc>
          <w:tcPr>
            <w:tcW w:type="dxa" w:w="6768"/>
            <w:vAlign w:val="center"/>
          </w:tcPr>
          <w:p>
            <w:pPr>
              <w:spacing w:after="0" w:before="0" w:line="240" w:lineRule="auto"/>
              <w:jc w:val="left"/>
            </w:pPr>
            <w:r/>
            <w:r>
              <w:rPr>
                <w:rFonts w:ascii="Cambria" w:hAnsi="Cambria"/>
                <w:b w:val="0"/>
                <w:i w:val="0"/>
                <w:color w:val="000000"/>
                <w:sz w:val="17"/>
              </w:rPr>
              <w:t>Leadership evaluation of overall FSMS suitability, adequacy, effectiveness and improvement needs.</w:t>
            </w:r>
          </w:p>
        </w:tc>
      </w:tr>
    </w:tbl>
    <w:p>
      <w:pPr>
        <w:pStyle w:val="Heading1"/>
        <w:keepNext/>
      </w:pPr>
      <w:r>
        <w:t>12. Internal Audit</w:t>
      </w:r>
    </w:p>
    <w:p>
      <w:pPr>
        <w:pStyle w:val="ListBullet"/>
        <w:spacing w:after="40"/>
        <w:ind w:left="340" w:hanging="170"/>
      </w:pPr>
      <w:r>
        <w:rPr>
          <w:rFonts w:ascii="Cambria" w:hAnsi="Cambria"/>
          <w:b w:val="0"/>
          <w:i w:val="0"/>
          <w:color w:val="000000"/>
          <w:sz w:val="20"/>
        </w:rPr>
        <w:t>Use a risk-based programme that covers the full FSMS over the planned cycle and gives additional attention to high-risk or poorly performing areas.</w:t>
      </w:r>
    </w:p>
    <w:p>
      <w:pPr>
        <w:pStyle w:val="ListBullet"/>
        <w:spacing w:after="40"/>
        <w:ind w:left="340" w:hanging="170"/>
      </w:pPr>
      <w:r>
        <w:rPr>
          <w:rFonts w:ascii="Cambria" w:hAnsi="Cambria"/>
          <w:b w:val="0"/>
          <w:i w:val="0"/>
          <w:color w:val="000000"/>
          <w:sz w:val="20"/>
        </w:rPr>
        <w:t>Ensure auditors are sufficiently independent of the work being audited and competent for the assigned scope.</w:t>
      </w:r>
    </w:p>
    <w:p>
      <w:pPr>
        <w:pStyle w:val="ListBullet"/>
        <w:spacing w:after="40"/>
        <w:ind w:left="340" w:hanging="170"/>
      </w:pPr>
      <w:r>
        <w:rPr>
          <w:rFonts w:ascii="Cambria" w:hAnsi="Cambria"/>
          <w:b w:val="0"/>
          <w:i w:val="0"/>
          <w:color w:val="000000"/>
          <w:sz w:val="20"/>
        </w:rPr>
        <w:t>Audit implementation and effectiveness, not only whether documents exist.</w:t>
      </w:r>
    </w:p>
    <w:p>
      <w:pPr>
        <w:pStyle w:val="ListBullet"/>
        <w:spacing w:after="40"/>
        <w:ind w:left="340" w:hanging="170"/>
      </w:pPr>
      <w:r>
        <w:rPr>
          <w:rFonts w:ascii="Cambria" w:hAnsi="Cambria"/>
          <w:b w:val="0"/>
          <w:i w:val="0"/>
          <w:color w:val="000000"/>
          <w:sz w:val="20"/>
        </w:rPr>
        <w:t>Record findings with evidence and significance; assign corrective action when nonconformity is identified.</w:t>
      </w:r>
    </w:p>
    <w:p>
      <w:pPr>
        <w:pStyle w:val="ListBullet"/>
        <w:spacing w:after="40"/>
        <w:ind w:left="340" w:hanging="170"/>
      </w:pPr>
      <w:r>
        <w:rPr>
          <w:rFonts w:ascii="Cambria" w:hAnsi="Cambria"/>
          <w:b w:val="0"/>
          <w:i w:val="0"/>
          <w:color w:val="000000"/>
          <w:sz w:val="20"/>
        </w:rPr>
        <w:t>Use recurring findings as an input to management review and systemic improvement.</w:t>
      </w:r>
    </w:p>
    <w:p>
      <w:pPr>
        <w:pStyle w:val="Heading1"/>
        <w:keepNext/>
      </w:pPr>
      <w:r>
        <w:t>13. Management Review</w:t>
      </w:r>
    </w:p>
    <w:p>
      <w:pPr>
        <w:pStyle w:val="BodyText"/>
      </w:pPr>
      <w:r>
        <w:rPr>
          <w:rFonts w:ascii="Cambria" w:hAnsi="Cambria"/>
          <w:b w:val="0"/>
          <w:i w:val="0"/>
          <w:color w:val="000000"/>
          <w:sz w:val="21"/>
        </w:rPr>
        <w:t>Top management should review the FSMS at planned intervals using current evidence. The review should consider previous actions, changes in context and requirements, performance trends, verification / audit results, incidents and communications, external-provider performance, resource adequacy and improvement opportunities, then record clear decisions and actions.</w:t>
      </w:r>
    </w:p>
    <w:p>
      <w:pPr>
        <w:pStyle w:val="ListBullet"/>
        <w:spacing w:after="40"/>
        <w:ind w:left="340" w:hanging="170"/>
      </w:pPr>
      <w:r>
        <w:rPr>
          <w:rFonts w:ascii="Cambria" w:hAnsi="Cambria"/>
          <w:b w:val="0"/>
          <w:i w:val="0"/>
          <w:color w:val="000000"/>
          <w:sz w:val="20"/>
        </w:rPr>
        <w:t>Use the Food Safety Management Review Procedure to define governance.</w:t>
      </w:r>
    </w:p>
    <w:p>
      <w:pPr>
        <w:pStyle w:val="ListBullet"/>
        <w:spacing w:after="40"/>
        <w:ind w:left="340" w:hanging="170"/>
      </w:pPr>
      <w:r>
        <w:rPr>
          <w:rFonts w:ascii="Cambria" w:hAnsi="Cambria"/>
          <w:b w:val="0"/>
          <w:i w:val="0"/>
          <w:color w:val="000000"/>
          <w:sz w:val="20"/>
        </w:rPr>
        <w:t>Use the Food Safety Management Review Agenda &amp; Minutes to record inputs, conclusions and actions.</w:t>
      </w:r>
    </w:p>
    <w:p>
      <w:pPr>
        <w:pStyle w:val="ListBullet"/>
        <w:spacing w:after="40"/>
        <w:ind w:left="340" w:hanging="170"/>
      </w:pPr>
      <w:r>
        <w:rPr>
          <w:rFonts w:ascii="Cambria" w:hAnsi="Cambria"/>
          <w:b w:val="0"/>
          <w:i w:val="0"/>
          <w:color w:val="000000"/>
          <w:sz w:val="20"/>
        </w:rPr>
        <w:t>Use the Food Safety Management Review Guidance to improve evidence quality, facilitation and action closure.</w:t>
      </w:r>
    </w:p>
    <w:p>
      <w:pPr>
        <w:pStyle w:val="Heading1"/>
        <w:keepNext/>
      </w:pPr>
      <w:r>
        <w:t>14. Nonconformity, Corrective Action and Continual Improvement</w:t>
      </w:r>
    </w:p>
    <w:tbl>
      <w:tblPr>
        <w:tblStyle w:val="TableGrid"/>
        <w:tblW w:type="auto" w:w="0"/>
        <w:jc w:val="center"/>
        <w:tblLayout w:type="fixed"/>
        <w:tblLook w:val="04A0"/>
      </w:tblPr>
      <w:tblGrid>
        <w:gridCol w:w="4677"/>
        <w:gridCol w:w="4677"/>
      </w:tblGrid>
      <w:tr>
        <w:trPr>
          <w:cantSplit/>
          <w:tblHeader w:val="true"/>
        </w:trPr>
        <w:tc>
          <w:tcPr>
            <w:tcW w:type="dxa" w:w="2088"/>
            <w:vAlign w:val="center"/>
            <w:shd w:fill="D9EAF7" w:val="clear"/>
          </w:tcPr>
          <w:p>
            <w:pPr>
              <w:spacing w:after="0" w:before="0" w:line="240" w:lineRule="auto"/>
              <w:jc w:val="center"/>
            </w:pPr>
            <w:r/>
            <w:r>
              <w:rPr>
                <w:rFonts w:ascii="Cambria" w:hAnsi="Cambria"/>
                <w:b/>
                <w:i w:val="0"/>
                <w:color w:val="000000"/>
                <w:sz w:val="17"/>
              </w:rPr>
              <w:t>Stage</w:t>
            </w:r>
          </w:p>
        </w:tc>
        <w:tc>
          <w:tcPr>
            <w:tcW w:type="dxa" w:w="7200"/>
            <w:vAlign w:val="center"/>
            <w:shd w:fill="D9EAF7" w:val="clear"/>
          </w:tcPr>
          <w:p>
            <w:pPr>
              <w:spacing w:after="0" w:before="0" w:line="240" w:lineRule="auto"/>
              <w:jc w:val="center"/>
            </w:pPr>
            <w:r/>
            <w:r>
              <w:rPr>
                <w:rFonts w:ascii="Cambria" w:hAnsi="Cambria"/>
                <w:b/>
                <w:i w:val="0"/>
                <w:color w:val="000000"/>
                <w:sz w:val="17"/>
              </w:rPr>
              <w:t>Practical Control</w:t>
            </w:r>
          </w:p>
        </w:tc>
      </w:tr>
      <w:tr>
        <w:trPr>
          <w:cantSplit/>
        </w:trPr>
        <w:tc>
          <w:tcPr>
            <w:tcW w:type="dxa" w:w="2088"/>
            <w:vAlign w:val="center"/>
          </w:tcPr>
          <w:p>
            <w:pPr>
              <w:spacing w:after="0" w:before="0" w:line="240" w:lineRule="auto"/>
              <w:jc w:val="left"/>
            </w:pPr>
            <w:r/>
            <w:r>
              <w:rPr>
                <w:rFonts w:ascii="Cambria" w:hAnsi="Cambria"/>
                <w:b w:val="0"/>
                <w:i w:val="0"/>
                <w:color w:val="000000"/>
                <w:sz w:val="17"/>
              </w:rPr>
              <w:t>Contain / correct</w:t>
            </w:r>
          </w:p>
        </w:tc>
        <w:tc>
          <w:tcPr>
            <w:tcW w:type="dxa" w:w="7200"/>
            <w:vAlign w:val="center"/>
          </w:tcPr>
          <w:p>
            <w:pPr>
              <w:spacing w:after="0" w:before="0" w:line="240" w:lineRule="auto"/>
              <w:jc w:val="left"/>
            </w:pPr>
            <w:r/>
            <w:r>
              <w:rPr>
                <w:rFonts w:ascii="Cambria" w:hAnsi="Cambria"/>
                <w:b w:val="0"/>
                <w:i w:val="0"/>
                <w:color w:val="000000"/>
                <w:sz w:val="17"/>
              </w:rPr>
              <w:t>Control the immediate condition and affected product / process.</w:t>
            </w:r>
          </w:p>
        </w:tc>
      </w:tr>
      <w:tr>
        <w:trPr>
          <w:cantSplit/>
        </w:trPr>
        <w:tc>
          <w:tcPr>
            <w:tcW w:type="dxa" w:w="2088"/>
            <w:vAlign w:val="center"/>
          </w:tcPr>
          <w:p>
            <w:pPr>
              <w:spacing w:after="0" w:before="0" w:line="240" w:lineRule="auto"/>
              <w:jc w:val="left"/>
            </w:pPr>
            <w:r/>
            <w:r>
              <w:rPr>
                <w:rFonts w:ascii="Cambria" w:hAnsi="Cambria"/>
                <w:b w:val="0"/>
                <w:i w:val="0"/>
                <w:color w:val="000000"/>
                <w:sz w:val="17"/>
              </w:rPr>
              <w:t>Investigate</w:t>
            </w:r>
          </w:p>
        </w:tc>
        <w:tc>
          <w:tcPr>
            <w:tcW w:type="dxa" w:w="7200"/>
            <w:vAlign w:val="center"/>
          </w:tcPr>
          <w:p>
            <w:pPr>
              <w:spacing w:after="0" w:before="0" w:line="240" w:lineRule="auto"/>
              <w:jc w:val="left"/>
            </w:pPr>
            <w:r/>
            <w:r>
              <w:rPr>
                <w:rFonts w:ascii="Cambria" w:hAnsi="Cambria"/>
                <w:b w:val="0"/>
                <w:i w:val="0"/>
                <w:color w:val="000000"/>
                <w:sz w:val="17"/>
              </w:rPr>
              <w:t>Determine whether the issue is isolated or systemic and identify contributing causes.</w:t>
            </w:r>
          </w:p>
        </w:tc>
      </w:tr>
      <w:tr>
        <w:trPr>
          <w:cantSplit/>
        </w:trPr>
        <w:tc>
          <w:tcPr>
            <w:tcW w:type="dxa" w:w="2088"/>
            <w:vAlign w:val="center"/>
          </w:tcPr>
          <w:p>
            <w:pPr>
              <w:spacing w:after="0" w:before="0" w:line="240" w:lineRule="auto"/>
              <w:jc w:val="left"/>
            </w:pPr>
            <w:r/>
            <w:r>
              <w:rPr>
                <w:rFonts w:ascii="Cambria" w:hAnsi="Cambria"/>
                <w:b w:val="0"/>
                <w:i w:val="0"/>
                <w:color w:val="000000"/>
                <w:sz w:val="17"/>
              </w:rPr>
              <w:t>Corrective action</w:t>
            </w:r>
          </w:p>
        </w:tc>
        <w:tc>
          <w:tcPr>
            <w:tcW w:type="dxa" w:w="7200"/>
            <w:vAlign w:val="center"/>
          </w:tcPr>
          <w:p>
            <w:pPr>
              <w:spacing w:after="0" w:before="0" w:line="240" w:lineRule="auto"/>
              <w:jc w:val="left"/>
            </w:pPr>
            <w:r/>
            <w:r>
              <w:rPr>
                <w:rFonts w:ascii="Cambria" w:hAnsi="Cambria"/>
                <w:b w:val="0"/>
                <w:i w:val="0"/>
                <w:color w:val="000000"/>
                <w:sz w:val="17"/>
              </w:rPr>
              <w:t>Remove or reduce the cause to prevent recurrence; assign owner and due date.</w:t>
            </w:r>
          </w:p>
        </w:tc>
      </w:tr>
      <w:tr>
        <w:trPr>
          <w:cantSplit/>
        </w:trPr>
        <w:tc>
          <w:tcPr>
            <w:tcW w:type="dxa" w:w="2088"/>
            <w:vAlign w:val="center"/>
          </w:tcPr>
          <w:p>
            <w:pPr>
              <w:spacing w:after="0" w:before="0" w:line="240" w:lineRule="auto"/>
              <w:jc w:val="left"/>
            </w:pPr>
            <w:r/>
            <w:r>
              <w:rPr>
                <w:rFonts w:ascii="Cambria" w:hAnsi="Cambria"/>
                <w:b w:val="0"/>
                <w:i w:val="0"/>
                <w:color w:val="000000"/>
                <w:sz w:val="17"/>
              </w:rPr>
              <w:t>Effectiveness check</w:t>
            </w:r>
          </w:p>
        </w:tc>
        <w:tc>
          <w:tcPr>
            <w:tcW w:type="dxa" w:w="7200"/>
            <w:vAlign w:val="center"/>
          </w:tcPr>
          <w:p>
            <w:pPr>
              <w:spacing w:after="0" w:before="0" w:line="240" w:lineRule="auto"/>
              <w:jc w:val="left"/>
            </w:pPr>
            <w:r/>
            <w:r>
              <w:rPr>
                <w:rFonts w:ascii="Cambria" w:hAnsi="Cambria"/>
                <w:b w:val="0"/>
                <w:i w:val="0"/>
                <w:color w:val="000000"/>
                <w:sz w:val="17"/>
              </w:rPr>
              <w:t>Verify the action produced the intended result after sufficient operating evidence exists.</w:t>
            </w:r>
          </w:p>
        </w:tc>
      </w:tr>
      <w:tr>
        <w:trPr>
          <w:cantSplit/>
        </w:trPr>
        <w:tc>
          <w:tcPr>
            <w:tcW w:type="dxa" w:w="2088"/>
            <w:vAlign w:val="center"/>
          </w:tcPr>
          <w:p>
            <w:pPr>
              <w:spacing w:after="0" w:before="0" w:line="240" w:lineRule="auto"/>
              <w:jc w:val="left"/>
            </w:pPr>
            <w:r/>
            <w:r>
              <w:rPr>
                <w:rFonts w:ascii="Cambria" w:hAnsi="Cambria"/>
                <w:b w:val="0"/>
                <w:i w:val="0"/>
                <w:color w:val="000000"/>
                <w:sz w:val="17"/>
              </w:rPr>
              <w:t>System update</w:t>
            </w:r>
          </w:p>
        </w:tc>
        <w:tc>
          <w:tcPr>
            <w:tcW w:type="dxa" w:w="7200"/>
            <w:vAlign w:val="center"/>
          </w:tcPr>
          <w:p>
            <w:pPr>
              <w:spacing w:after="0" w:before="0" w:line="240" w:lineRule="auto"/>
              <w:jc w:val="left"/>
            </w:pPr>
            <w:r/>
            <w:r>
              <w:rPr>
                <w:rFonts w:ascii="Cambria" w:hAnsi="Cambria"/>
                <w:b w:val="0"/>
                <w:i w:val="0"/>
                <w:color w:val="000000"/>
                <w:sz w:val="17"/>
              </w:rPr>
              <w:t>Update hazards, controls, procedures, training, supplier controls or objectives when learning shows change is needed.</w:t>
            </w:r>
          </w:p>
        </w:tc>
      </w:tr>
      <w:tr>
        <w:trPr>
          <w:cantSplit/>
        </w:trPr>
        <w:tc>
          <w:tcPr>
            <w:tcW w:type="dxa" w:w="2088"/>
            <w:vAlign w:val="center"/>
          </w:tcPr>
          <w:p>
            <w:pPr>
              <w:spacing w:after="0" w:before="0" w:line="240" w:lineRule="auto"/>
              <w:jc w:val="left"/>
            </w:pPr>
            <w:r/>
            <w:r>
              <w:rPr>
                <w:rFonts w:ascii="Cambria" w:hAnsi="Cambria"/>
                <w:b w:val="0"/>
                <w:i w:val="0"/>
                <w:color w:val="000000"/>
                <w:sz w:val="17"/>
              </w:rPr>
              <w:t>Trend / improve</w:t>
            </w:r>
          </w:p>
        </w:tc>
        <w:tc>
          <w:tcPr>
            <w:tcW w:type="dxa" w:w="7200"/>
            <w:vAlign w:val="center"/>
          </w:tcPr>
          <w:p>
            <w:pPr>
              <w:spacing w:after="0" w:before="0" w:line="240" w:lineRule="auto"/>
              <w:jc w:val="left"/>
            </w:pPr>
            <w:r/>
            <w:r>
              <w:rPr>
                <w:rFonts w:ascii="Cambria" w:hAnsi="Cambria"/>
                <w:b w:val="0"/>
                <w:i w:val="0"/>
                <w:color w:val="000000"/>
                <w:sz w:val="17"/>
              </w:rPr>
              <w:t>Use repeated issues and performance data to prioritize continual improvement.</w:t>
            </w:r>
          </w:p>
        </w:tc>
      </w:tr>
    </w:tbl>
    <w:p>
      <w:pPr>
        <w:pStyle w:val="Heading1"/>
        <w:keepNext/>
      </w:pPr>
      <w:r>
        <w:t>15. Practical Implementation Sequence</w:t>
      </w:r>
    </w:p>
    <w:p>
      <w:pPr>
        <w:pStyle w:val="ListNumber"/>
        <w:spacing w:after="40"/>
      </w:pPr>
      <w:r>
        <w:rPr>
          <w:rFonts w:ascii="Cambria" w:hAnsi="Cambria"/>
          <w:b w:val="0"/>
          <w:i w:val="0"/>
          <w:color w:val="000000"/>
          <w:sz w:val="20"/>
        </w:rPr>
        <w:t>Confirm FSMS scope, food-chain role, sites, products / services and process boundaries.</w:t>
      </w:r>
    </w:p>
    <w:p>
      <w:pPr>
        <w:pStyle w:val="ListNumber"/>
        <w:spacing w:after="40"/>
      </w:pPr>
      <w:r>
        <w:rPr>
          <w:rFonts w:ascii="Cambria" w:hAnsi="Cambria"/>
          <w:b w:val="0"/>
          <w:i w:val="0"/>
          <w:color w:val="000000"/>
          <w:sz w:val="20"/>
        </w:rPr>
        <w:t>Establish leadership governance, food safety team, policy and practical objectives.</w:t>
      </w:r>
    </w:p>
    <w:p>
      <w:pPr>
        <w:pStyle w:val="ListNumber"/>
        <w:spacing w:after="40"/>
      </w:pPr>
      <w:r>
        <w:rPr>
          <w:rFonts w:ascii="Cambria" w:hAnsi="Cambria"/>
          <w:b w:val="0"/>
          <w:i w:val="0"/>
          <w:color w:val="000000"/>
          <w:sz w:val="20"/>
        </w:rPr>
        <w:t>Map processes, applicable requirements, interested parties and communication interfaces.</w:t>
      </w:r>
    </w:p>
    <w:p>
      <w:pPr>
        <w:pStyle w:val="ListNumber"/>
        <w:spacing w:after="40"/>
      </w:pPr>
      <w:r>
        <w:rPr>
          <w:rFonts w:ascii="Cambria" w:hAnsi="Cambria"/>
          <w:b w:val="0"/>
          <w:i w:val="0"/>
          <w:color w:val="000000"/>
          <w:sz w:val="20"/>
        </w:rPr>
        <w:t>Assess and implement sector-appropriate PRPs.</w:t>
      </w:r>
    </w:p>
    <w:p>
      <w:pPr>
        <w:pStyle w:val="ListNumber"/>
        <w:spacing w:after="40"/>
      </w:pPr>
      <w:r>
        <w:rPr>
          <w:rFonts w:ascii="Cambria" w:hAnsi="Cambria"/>
          <w:b w:val="0"/>
          <w:i w:val="0"/>
          <w:color w:val="000000"/>
          <w:sz w:val="20"/>
        </w:rPr>
        <w:t>Build product / process information and complete hazard analysis and hazard control planning.</w:t>
      </w:r>
    </w:p>
    <w:p>
      <w:pPr>
        <w:pStyle w:val="ListNumber"/>
        <w:spacing w:after="40"/>
      </w:pPr>
      <w:r>
        <w:rPr>
          <w:rFonts w:ascii="Cambria" w:hAnsi="Cambria"/>
          <w:b w:val="0"/>
          <w:i w:val="0"/>
          <w:color w:val="000000"/>
          <w:sz w:val="20"/>
        </w:rPr>
        <w:t>Establish traceability, emergency, withdrawal / recall and external-provider controls.</w:t>
      </w:r>
    </w:p>
    <w:p>
      <w:pPr>
        <w:pStyle w:val="ListNumber"/>
        <w:spacing w:after="40"/>
      </w:pPr>
      <w:r>
        <w:rPr>
          <w:rFonts w:ascii="Cambria" w:hAnsi="Cambria"/>
          <w:b w:val="0"/>
          <w:i w:val="0"/>
          <w:color w:val="000000"/>
          <w:sz w:val="20"/>
        </w:rPr>
        <w:t>Implement competence, communication, infrastructure, calibration and documented-information controls.</w:t>
      </w:r>
    </w:p>
    <w:p>
      <w:pPr>
        <w:pStyle w:val="ListNumber"/>
        <w:spacing w:after="40"/>
      </w:pPr>
      <w:r>
        <w:rPr>
          <w:rFonts w:ascii="Cambria" w:hAnsi="Cambria"/>
          <w:b w:val="0"/>
          <w:i w:val="0"/>
          <w:color w:val="000000"/>
          <w:sz w:val="20"/>
        </w:rPr>
        <w:t>Run monitoring, corrections, verification and data analysis until objective evidence is available.</w:t>
      </w:r>
    </w:p>
    <w:p>
      <w:pPr>
        <w:pStyle w:val="ListNumber"/>
        <w:spacing w:after="40"/>
      </w:pPr>
      <w:r>
        <w:rPr>
          <w:rFonts w:ascii="Cambria" w:hAnsi="Cambria"/>
          <w:b w:val="0"/>
          <w:i w:val="0"/>
          <w:color w:val="000000"/>
          <w:sz w:val="20"/>
        </w:rPr>
        <w:t>Conduct internal audit and close significant findings.</w:t>
      </w:r>
    </w:p>
    <w:p>
      <w:pPr>
        <w:pStyle w:val="ListNumber"/>
        <w:spacing w:after="40"/>
      </w:pPr>
      <w:r>
        <w:rPr>
          <w:rFonts w:ascii="Cambria" w:hAnsi="Cambria"/>
          <w:b w:val="0"/>
          <w:i w:val="0"/>
          <w:color w:val="000000"/>
          <w:sz w:val="20"/>
        </w:rPr>
        <w:t>Conduct management review using evidence from actual operation.</w:t>
      </w:r>
    </w:p>
    <w:p>
      <w:pPr>
        <w:pStyle w:val="ListNumber"/>
        <w:spacing w:after="40"/>
      </w:pPr>
      <w:r>
        <w:rPr>
          <w:rFonts w:ascii="Cambria" w:hAnsi="Cambria"/>
          <w:b w:val="0"/>
          <w:i w:val="0"/>
          <w:color w:val="000000"/>
          <w:sz w:val="20"/>
        </w:rPr>
        <w:t>Update the FSMS and sustain continual improvement through routine governance.</w:t>
      </w:r>
    </w:p>
    <w:p>
      <w:pPr>
        <w:pStyle w:val="Heading1"/>
        <w:keepNext/>
      </w:pPr>
      <w:r>
        <w:t>16. Audit-Readiness Check</w:t>
      </w:r>
    </w:p>
    <w:tbl>
      <w:tblPr>
        <w:tblStyle w:val="TableGrid"/>
        <w:tblW w:type="auto" w:w="0"/>
        <w:jc w:val="center"/>
        <w:tblLayout w:type="fixed"/>
        <w:tblLook w:val="04A0"/>
      </w:tblPr>
      <w:tblGrid>
        <w:gridCol w:w="4677"/>
        <w:gridCol w:w="4677"/>
      </w:tblGrid>
      <w:tr>
        <w:trPr>
          <w:cantSplit/>
          <w:tblHeader w:val="true"/>
        </w:trPr>
        <w:tc>
          <w:tcPr>
            <w:tcW w:type="dxa" w:w="792"/>
            <w:vAlign w:val="center"/>
            <w:shd w:fill="D9EAF7" w:val="clear"/>
          </w:tcPr>
          <w:p>
            <w:pPr>
              <w:spacing w:after="0" w:before="0" w:line="240" w:lineRule="auto"/>
              <w:jc w:val="center"/>
            </w:pPr>
            <w:r/>
            <w:r>
              <w:rPr>
                <w:rFonts w:ascii="Cambria" w:hAnsi="Cambria"/>
                <w:b/>
                <w:i w:val="0"/>
                <w:color w:val="000000"/>
                <w:sz w:val="17"/>
              </w:rPr>
              <w:t>Check</w:t>
            </w:r>
          </w:p>
        </w:tc>
        <w:tc>
          <w:tcPr>
            <w:tcW w:type="dxa" w:w="8496"/>
            <w:vAlign w:val="center"/>
            <w:shd w:fill="D9EAF7" w:val="clear"/>
          </w:tcPr>
          <w:p>
            <w:pPr>
              <w:spacing w:after="0" w:before="0" w:line="240" w:lineRule="auto"/>
              <w:jc w:val="center"/>
            </w:pPr>
            <w:r/>
            <w:r>
              <w:rPr>
                <w:rFonts w:ascii="Cambria" w:hAnsi="Cambria"/>
                <w:b/>
                <w:i w:val="0"/>
                <w:color w:val="000000"/>
                <w:sz w:val="17"/>
              </w:rPr>
              <w:t>Evidence Available</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FSMS scope and process boundaries are current and understood.</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Food safety policy, objectives and responsibilities are current.</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Applicable legal, regulatory, customer and interested-party requirements are identified and reviewed.</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PRPs are implemented and verified using current sector / organizational requirements.</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Hazard analysis and hazard control plan reflect current products, processes and hazards.</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Monitoring, correction, verification and validation records are complete and retrievable.</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Traceability and withdrawal / recall arrangements have been tested.</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Supplier and outsourced-process controls are risk-based and current.</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Competence, communication, infrastructure and measurement controls are effective.</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Internal audits and corrective actions demonstrate closure and learning.</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Management review is current and actions are being tracked.</w:t>
            </w:r>
          </w:p>
        </w:tc>
      </w:tr>
      <w:tr>
        <w:trPr>
          <w:cantSplit/>
        </w:trPr>
        <w:tc>
          <w:tcPr>
            <w:tcW w:type="dxa" w:w="792"/>
            <w:vAlign w:val="center"/>
          </w:tcPr>
          <w:p>
            <w:pPr>
              <w:spacing w:after="0" w:before="0" w:line="240" w:lineRule="auto"/>
              <w:jc w:val="left"/>
            </w:pPr>
            <w:r/>
            <w:r>
              <w:rPr>
                <w:rFonts w:ascii="Cambria" w:hAnsi="Cambria"/>
                <w:b w:val="0"/>
                <w:i w:val="0"/>
                <w:color w:val="000000"/>
                <w:sz w:val="17"/>
              </w:rPr>
              <w:t>[ ]</w:t>
            </w:r>
          </w:p>
        </w:tc>
        <w:tc>
          <w:tcPr>
            <w:tcW w:type="dxa" w:w="8496"/>
            <w:vAlign w:val="center"/>
          </w:tcPr>
          <w:p>
            <w:pPr>
              <w:spacing w:after="0" w:before="0" w:line="240" w:lineRule="auto"/>
              <w:jc w:val="left"/>
            </w:pPr>
            <w:r/>
            <w:r>
              <w:rPr>
                <w:rFonts w:ascii="Cambria" w:hAnsi="Cambria"/>
                <w:b w:val="0"/>
                <w:i w:val="0"/>
                <w:color w:val="000000"/>
                <w:sz w:val="17"/>
              </w:rPr>
              <w:t>Climate-related context / interested-party relevance has been considered and recorded where applicable.</w:t>
            </w:r>
          </w:p>
        </w:tc>
      </w:tr>
    </w:tbl>
    <w:p>
      <w:pPr>
        <w:pStyle w:val="Heading1"/>
        <w:keepNext/>
      </w:pPr>
      <w:r>
        <w:t>17. Related Toolkit Documents</w:t>
      </w:r>
    </w:p>
    <w:p>
      <w:pPr>
        <w:pStyle w:val="ListBullet"/>
        <w:spacing w:after="40"/>
        <w:ind w:left="340" w:hanging="170"/>
      </w:pPr>
      <w:r>
        <w:rPr>
          <w:rFonts w:ascii="Cambria" w:hAnsi="Cambria"/>
          <w:b w:val="0"/>
          <w:i w:val="0"/>
          <w:color w:val="000000"/>
          <w:sz w:val="20"/>
        </w:rPr>
        <w:t>Documented Information Procedure</w:t>
      </w:r>
    </w:p>
    <w:p>
      <w:pPr>
        <w:pStyle w:val="ListBullet"/>
        <w:spacing w:after="40"/>
        <w:ind w:left="340" w:hanging="170"/>
      </w:pPr>
      <w:r>
        <w:rPr>
          <w:rFonts w:ascii="Cambria" w:hAnsi="Cambria"/>
          <w:b w:val="0"/>
          <w:i w:val="0"/>
          <w:color w:val="000000"/>
          <w:sz w:val="20"/>
        </w:rPr>
        <w:t>Documented Information Guidance</w:t>
      </w:r>
    </w:p>
    <w:p>
      <w:pPr>
        <w:pStyle w:val="ListBullet"/>
        <w:spacing w:after="40"/>
        <w:ind w:left="340" w:hanging="170"/>
      </w:pPr>
      <w:r>
        <w:rPr>
          <w:rFonts w:ascii="Cambria" w:hAnsi="Cambria"/>
          <w:b w:val="0"/>
          <w:i w:val="0"/>
          <w:color w:val="000000"/>
          <w:sz w:val="20"/>
        </w:rPr>
        <w:t>Food Safety Management Review Procedure</w:t>
      </w:r>
    </w:p>
    <w:p>
      <w:pPr>
        <w:pStyle w:val="ListBullet"/>
        <w:spacing w:after="40"/>
        <w:ind w:left="340" w:hanging="170"/>
      </w:pPr>
      <w:r>
        <w:rPr>
          <w:rFonts w:ascii="Cambria" w:hAnsi="Cambria"/>
          <w:b w:val="0"/>
          <w:i w:val="0"/>
          <w:color w:val="000000"/>
          <w:sz w:val="20"/>
        </w:rPr>
        <w:t>Food Safety Management Review Agenda &amp; Minutes</w:t>
      </w:r>
    </w:p>
    <w:p>
      <w:pPr>
        <w:pStyle w:val="ListBullet"/>
        <w:spacing w:after="40"/>
        <w:ind w:left="340" w:hanging="170"/>
      </w:pPr>
      <w:r>
        <w:rPr>
          <w:rFonts w:ascii="Cambria" w:hAnsi="Cambria"/>
          <w:b w:val="0"/>
          <w:i w:val="0"/>
          <w:color w:val="000000"/>
          <w:sz w:val="20"/>
        </w:rPr>
        <w:t>Food Safety Management Review Guidance</w:t>
      </w:r>
    </w:p>
    <w:p>
      <w:pPr>
        <w:pStyle w:val="Heading1"/>
        <w:keepNext/>
      </w:pPr>
      <w:r>
        <w:t>References</w:t>
      </w:r>
    </w:p>
    <w:p>
      <w:pPr>
        <w:pStyle w:val="ListBullet"/>
      </w:pPr>
      <w:r>
        <w:rPr>
          <w:rFonts w:ascii="Cambria" w:hAnsi="Cambria"/>
          <w:b w:val="0"/>
          <w:i w:val="0"/>
          <w:color w:val="000000"/>
          <w:sz w:val="19"/>
        </w:rPr>
        <w:t>ISO 22000:2018, Food safety management systems — Requirements for any organization in the food chain (current published edition as of 18 September 2026).</w:t>
      </w:r>
    </w:p>
    <w:p>
      <w:pPr>
        <w:pStyle w:val="ListBullet"/>
      </w:pPr>
      <w:r>
        <w:rPr>
          <w:rFonts w:ascii="Cambria" w:hAnsi="Cambria"/>
          <w:b w:val="0"/>
          <w:i w:val="0"/>
          <w:color w:val="000000"/>
          <w:sz w:val="19"/>
        </w:rPr>
        <w:t>ISO 22000:2018/Amd 1:2024, Amendment 1: Climate action changes.</w:t>
      </w:r>
    </w:p>
    <w:p>
      <w:pPr>
        <w:pStyle w:val="ListBullet"/>
      </w:pPr>
      <w:r>
        <w:rPr>
          <w:rFonts w:ascii="Cambria" w:hAnsi="Cambria"/>
          <w:b w:val="0"/>
          <w:i w:val="0"/>
          <w:color w:val="000000"/>
          <w:sz w:val="19"/>
        </w:rPr>
        <w:t>ISO 22002-100:2025, Prerequisite programmes on food safety — Part 100: Requirements for the food, feed and packaging supply chain.</w:t>
      </w:r>
    </w:p>
    <w:p>
      <w:pPr>
        <w:pStyle w:val="ListBullet"/>
      </w:pPr>
      <w:r>
        <w:rPr>
          <w:rFonts w:ascii="Cambria" w:hAnsi="Cambria"/>
          <w:b w:val="0"/>
          <w:i w:val="0"/>
          <w:color w:val="000000"/>
          <w:sz w:val="19"/>
        </w:rPr>
        <w:t>ISO 22002-1:2025, Prerequisite programmes on food safety — Part 1: Food manufacturing, where applicable to the organization’s sector.</w:t>
      </w:r>
    </w:p>
    <w:p>
      <w:pPr>
        <w:pStyle w:val="ListBullet"/>
      </w:pPr>
      <w:r>
        <w:rPr>
          <w:rFonts w:ascii="Cambria" w:hAnsi="Cambria"/>
          <w:b w:val="0"/>
          <w:i w:val="0"/>
          <w:color w:val="000000"/>
          <w:sz w:val="19"/>
        </w:rPr>
        <w:t>Codex Alimentarius CXC 1-1969, General Principles of Food Hygiene, revised 2022.</w:t>
      </w:r>
    </w:p>
    <w:p>
      <w:pPr>
        <w:pStyle w:val="Heading1"/>
        <w:keepNext/>
      </w:pPr>
      <w:r>
        <w:t>Revision and Approval</w:t>
      </w:r>
    </w:p>
    <w:tbl>
      <w:tblPr>
        <w:tblStyle w:val="TableGrid"/>
        <w:tblW w:type="auto" w:w="0"/>
        <w:jc w:val="center"/>
        <w:tblLayout w:type="fixed"/>
        <w:tblLook w:val="04A0"/>
      </w:tblPr>
      <w:tblGrid>
        <w:gridCol w:w="1871"/>
        <w:gridCol w:w="1871"/>
        <w:gridCol w:w="1871"/>
        <w:gridCol w:w="1871"/>
        <w:gridCol w:w="1871"/>
      </w:tblGrid>
      <w:tr>
        <w:trPr>
          <w:cantSplit/>
          <w:tblHeader w:val="true"/>
        </w:trPr>
        <w:tc>
          <w:tcPr>
            <w:tcW w:type="dxa" w:w="936"/>
            <w:vAlign w:val="center"/>
            <w:shd w:fill="D9EAF7" w:val="clear"/>
          </w:tcPr>
          <w:p>
            <w:pPr>
              <w:spacing w:after="0" w:before="0" w:line="240" w:lineRule="auto"/>
              <w:jc w:val="center"/>
            </w:pPr>
            <w:r/>
            <w:r>
              <w:rPr>
                <w:rFonts w:ascii="Cambria" w:hAnsi="Cambria"/>
                <w:b/>
                <w:i w:val="0"/>
                <w:color w:val="000000"/>
                <w:sz w:val="17"/>
              </w:rPr>
              <w:t>Version</w:t>
            </w:r>
          </w:p>
        </w:tc>
        <w:tc>
          <w:tcPr>
            <w:tcW w:type="dxa" w:w="1655"/>
            <w:vAlign w:val="center"/>
            <w:shd w:fill="D9EAF7" w:val="clear"/>
          </w:tcPr>
          <w:p>
            <w:pPr>
              <w:spacing w:after="0" w:before="0" w:line="240" w:lineRule="auto"/>
              <w:jc w:val="center"/>
            </w:pPr>
            <w:r/>
            <w:r>
              <w:rPr>
                <w:rFonts w:ascii="Cambria" w:hAnsi="Cambria"/>
                <w:b/>
                <w:i w:val="0"/>
                <w:color w:val="000000"/>
                <w:sz w:val="17"/>
              </w:rPr>
              <w:t>Date</w:t>
            </w:r>
          </w:p>
        </w:tc>
        <w:tc>
          <w:tcPr>
            <w:tcW w:type="dxa" w:w="3240"/>
            <w:vAlign w:val="center"/>
            <w:shd w:fill="D9EAF7" w:val="clear"/>
          </w:tcPr>
          <w:p>
            <w:pPr>
              <w:spacing w:after="0" w:before="0" w:line="240" w:lineRule="auto"/>
              <w:jc w:val="center"/>
            </w:pPr>
            <w:r/>
            <w:r>
              <w:rPr>
                <w:rFonts w:ascii="Cambria" w:hAnsi="Cambria"/>
                <w:b/>
                <w:i w:val="0"/>
                <w:color w:val="000000"/>
                <w:sz w:val="17"/>
              </w:rPr>
              <w:t>Change Summary</w:t>
            </w:r>
          </w:p>
        </w:tc>
        <w:tc>
          <w:tcPr>
            <w:tcW w:type="dxa" w:w="1728"/>
            <w:vAlign w:val="center"/>
            <w:shd w:fill="D9EAF7" w:val="clear"/>
          </w:tcPr>
          <w:p>
            <w:pPr>
              <w:spacing w:after="0" w:before="0" w:line="240" w:lineRule="auto"/>
              <w:jc w:val="center"/>
            </w:pPr>
            <w:r/>
            <w:r>
              <w:rPr>
                <w:rFonts w:ascii="Cambria" w:hAnsi="Cambria"/>
                <w:b/>
                <w:i w:val="0"/>
                <w:color w:val="000000"/>
                <w:sz w:val="17"/>
              </w:rPr>
              <w:t>Prepared By</w:t>
            </w:r>
          </w:p>
        </w:tc>
        <w:tc>
          <w:tcPr>
            <w:tcW w:type="dxa" w:w="1728"/>
            <w:vAlign w:val="center"/>
            <w:shd w:fill="D9EAF7" w:val="clear"/>
          </w:tcPr>
          <w:p>
            <w:pPr>
              <w:spacing w:after="0" w:before="0" w:line="240" w:lineRule="auto"/>
              <w:jc w:val="center"/>
            </w:pPr>
            <w:r/>
            <w:r>
              <w:rPr>
                <w:rFonts w:ascii="Cambria" w:hAnsi="Cambria"/>
                <w:b/>
                <w:i w:val="0"/>
                <w:color w:val="000000"/>
                <w:sz w:val="17"/>
              </w:rPr>
              <w:t>Approved By</w:t>
            </w:r>
          </w:p>
        </w:tc>
      </w:tr>
      <w:tr>
        <w:trPr>
          <w:cantSplit/>
        </w:trPr>
        <w:tc>
          <w:tcPr>
            <w:tcW w:type="dxa" w:w="936"/>
            <w:vAlign w:val="center"/>
          </w:tcPr>
          <w:p>
            <w:pPr>
              <w:spacing w:after="0" w:before="0" w:line="240" w:lineRule="auto"/>
              <w:jc w:val="left"/>
            </w:pPr>
            <w:r/>
            <w:r>
              <w:rPr>
                <w:rFonts w:ascii="Cambria" w:hAnsi="Cambria"/>
                <w:b w:val="0"/>
                <w:i w:val="0"/>
                <w:color w:val="000000"/>
                <w:sz w:val="17"/>
              </w:rPr>
              <w:t>1.0</w:t>
            </w:r>
          </w:p>
        </w:tc>
        <w:tc>
          <w:tcPr>
            <w:tcW w:type="dxa" w:w="1655"/>
            <w:vAlign w:val="center"/>
          </w:tcPr>
          <w:p>
            <w:pPr>
              <w:spacing w:after="0" w:before="0" w:line="240" w:lineRule="auto"/>
              <w:jc w:val="left"/>
            </w:pPr>
            <w:r/>
            <w:r>
              <w:rPr>
                <w:rFonts w:ascii="Cambria" w:hAnsi="Cambria"/>
                <w:b w:val="0"/>
                <w:i w:val="0"/>
                <w:color w:val="000000"/>
                <w:sz w:val="17"/>
              </w:rPr>
              <w:t>18 September 2026</w:t>
            </w:r>
          </w:p>
        </w:tc>
        <w:tc>
          <w:tcPr>
            <w:tcW w:type="dxa" w:w="3240"/>
            <w:vAlign w:val="center"/>
          </w:tcPr>
          <w:p>
            <w:pPr>
              <w:spacing w:after="0" w:before="0" w:line="240" w:lineRule="auto"/>
              <w:jc w:val="left"/>
            </w:pPr>
            <w:r/>
            <w:r>
              <w:rPr>
                <w:rFonts w:ascii="Cambria" w:hAnsi="Cambria"/>
                <w:b w:val="0"/>
                <w:i w:val="0"/>
                <w:color w:val="000000"/>
                <w:sz w:val="17"/>
              </w:rPr>
              <w:t>Initial controlled issue</w:t>
            </w:r>
          </w:p>
        </w:tc>
        <w:tc>
          <w:tcPr>
            <w:tcW w:type="dxa" w:w="1728"/>
            <w:vAlign w:val="center"/>
          </w:tcPr>
          <w:p>
            <w:pPr>
              <w:spacing w:after="0" w:before="0" w:line="240" w:lineRule="auto"/>
              <w:jc w:val="left"/>
            </w:pPr>
            <w:r/>
            <w:r>
              <w:rPr>
                <w:rFonts w:ascii="Cambria" w:hAnsi="Cambria"/>
                <w:b w:val="0"/>
                <w:i w:val="0"/>
                <w:color w:val="000000"/>
                <w:sz w:val="17"/>
              </w:rPr>
              <w:t>[DOCUMENT OWNER]</w:t>
            </w:r>
          </w:p>
        </w:tc>
        <w:tc>
          <w:tcPr>
            <w:tcW w:type="dxa" w:w="1728"/>
            <w:vAlign w:val="center"/>
          </w:tcPr>
          <w:p>
            <w:pPr>
              <w:spacing w:after="0" w:before="0" w:line="240" w:lineRule="auto"/>
              <w:jc w:val="left"/>
            </w:pPr>
            <w:r/>
            <w:r>
              <w:rPr>
                <w:rFonts w:ascii="Cambria" w:hAnsi="Cambria"/>
                <w:b w:val="0"/>
                <w:i w:val="0"/>
                <w:color w:val="000000"/>
                <w:sz w:val="17"/>
              </w:rPr>
              <w:t>[APPROVER]</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pPr>
    <w:r/>
  </w:p>
  <w:tbl>
    <w:tblPr>
      <w:tblW w:type="auto" w:w="0"/>
      <w:jc w:val="center"/>
      <w:tblLayout w:type="fixed"/>
      <w:tblLook w:val="04A0"/>
    </w:tblPr>
    <w:tblGrid>
      <w:gridCol w:w="3096"/>
      <w:gridCol w:w="3096"/>
      <w:gridCol w:w="3096"/>
    </w:tblGrid>
    <w:tr>
      <w:tc>
        <w:tcPr>
          <w:tcW w:type="dxa" w:w="1800"/>
          <w:vAlign w:val="center"/>
        </w:tcPr>
        <w:p>
          <w:pPr>
            <w:spacing w:after="0" w:before="0" w:line="240" w:lineRule="auto"/>
            <w:jc w:val="left"/>
          </w:pPr>
          <w:r/>
          <w:r>
            <w:rPr>
              <w:rFonts w:ascii="Cambria" w:hAnsi="Cambria"/>
              <w:b/>
              <w:i w:val="0"/>
              <w:color w:val="000000"/>
              <w:sz w:val="16"/>
            </w:rPr>
            <w:t>INTERNAL</w:t>
          </w:r>
        </w:p>
      </w:tc>
      <w:tc>
        <w:tcPr>
          <w:tcW w:type="dxa" w:w="5544"/>
          <w:vAlign w:val="center"/>
        </w:tcPr>
        <w:p>
          <w:pPr>
            <w:spacing w:after="0" w:before="0" w:line="240" w:lineRule="auto"/>
            <w:jc w:val="center"/>
          </w:pPr>
          <w:r/>
          <w:r>
            <w:rPr>
              <w:rFonts w:ascii="Cambria" w:hAnsi="Cambria"/>
              <w:b w:val="0"/>
              <w:i w:val="0"/>
              <w:color w:val="000000"/>
              <w:sz w:val="15"/>
            </w:rPr>
            <w:t>www.iso-toolkits.org  |  info@iso-toolkits.org</w:t>
          </w:r>
        </w:p>
      </w:tc>
      <w:tc>
        <w:tcPr>
          <w:tcW w:type="dxa" w:w="1944"/>
        </w:tcPr>
        <w:p>
          <w:pPr>
            <w:jc w:val="right"/>
          </w:pPr>
          <w:r/>
          <w:r>
            <w:rPr>
              <w:rFonts w:ascii="Cambria" w:hAnsi="Cambria"/>
              <w:b w:val="0"/>
              <w:i w:val="0"/>
              <w:color w:val="000000"/>
              <w:sz w:val="16"/>
            </w:rPr>
            <w:t xml:space="preserve">Page </w:t>
          </w:r>
          <w:r>
            <w:rPr>
              <w:rFonts w:ascii="Cambria" w:hAnsi="Cambria"/>
              <w:b w:val="0"/>
              <w:i w:val="0"/>
              <w:color w:val="000000"/>
              <w:sz w:val="16"/>
            </w:rPr>
            <w:fldChar w:fldCharType="begin"/>
            <w:instrText xml:space="preserve"> PAGE </w:instrText>
            <w:fldChar w:fldCharType="end"/>
          </w:r>
          <w:r>
            <w:rPr>
              <w:rFonts w:ascii="Cambria" w:hAnsi="Cambria"/>
              <w:b w:val="0"/>
              <w:i w:val="0"/>
              <w:color w:val="000000"/>
              <w:sz w:val="16"/>
            </w:rPr>
            <w:t xml:space="preserve"> of </w:t>
          </w:r>
          <w:r>
            <w:rPr>
              <w:rFonts w:ascii="Cambria" w:hAnsi="Cambria"/>
              <w:b w:val="0"/>
              <w:i w:val="0"/>
              <w:color w:val="000000"/>
              <w:sz w:val="16"/>
            </w:rPr>
            <w:fldChar w:fldCharType="begin"/>
            <w:instrText xml:space="preserve"> NUMPAGES </w:instrText>
            <w:fldChar w:fldCharType="end"/>
          </w:r>
        </w:p>
      </w:tc>
    </w:tr>
  </w:tbl>
</w:ftr>
</file>

<file path=word/header1.xml><?xml version="1.0" encoding="utf-8"?>
<w:hdr xmlns:w="http://schemas.openxmlformats.org/wordprocessingml/2006/main">
  <w:p>
    <w:pPr>
      <w:pStyle w:val="Header"/>
      <w:spacing w:after="0" w:before="0"/>
    </w:pPr>
    <w:r/>
  </w:p>
  <w:tbl>
    <w:tblPr>
      <w:tblStyle w:val="TableGrid"/>
      <w:tblW w:type="auto" w:w="0"/>
      <w:jc w:val="center"/>
      <w:tblLayout w:type="fixed"/>
      <w:tblLook w:val="04A0"/>
    </w:tblPr>
    <w:tblGrid>
      <w:gridCol w:w="3096"/>
      <w:gridCol w:w="3096"/>
      <w:gridCol w:w="3096"/>
    </w:tblGrid>
    <w:tr>
      <w:tc>
        <w:tcPr>
          <w:tcW w:type="dxa" w:w="1800"/>
          <w:vAlign w:val="center"/>
          <w:shd w:fill="F2F2F2" w:val="clear"/>
        </w:tcPr>
        <w:p>
          <w:pPr>
            <w:spacing w:after="0" w:before="0" w:line="240" w:lineRule="auto"/>
            <w:jc w:val="center"/>
          </w:pPr>
          <w:r/>
          <w:r>
            <w:rPr>
              <w:rFonts w:ascii="Cambria" w:hAnsi="Cambria"/>
              <w:b/>
              <w:i w:val="0"/>
              <w:color w:val="000000"/>
              <w:sz w:val="16"/>
            </w:rPr>
            <w:t>ORGANIZATION</w:t>
            <w:br/>
            <w:t>LOGO</w:t>
          </w:r>
        </w:p>
      </w:tc>
      <w:tc>
        <w:tcPr>
          <w:tcW w:type="dxa" w:w="5544"/>
          <w:vAlign w:val="center"/>
        </w:tcPr>
        <w:p>
          <w:pPr>
            <w:spacing w:after="0" w:before="0" w:line="240" w:lineRule="auto"/>
            <w:jc w:val="center"/>
          </w:pPr>
          <w:r/>
          <w:r>
            <w:rPr>
              <w:rFonts w:ascii="Cambria" w:hAnsi="Cambria"/>
              <w:b/>
              <w:i w:val="0"/>
              <w:color w:val="000000"/>
              <w:sz w:val="16"/>
            </w:rPr>
            <w:t>[ORGANIZATION NAME]</w:t>
            <w:br/>
            <w:t>Food Safety Management System Guidance</w:t>
          </w:r>
        </w:p>
      </w:tc>
      <w:tc>
        <w:tcPr>
          <w:tcW w:type="dxa" w:w="1944"/>
          <w:vAlign w:val="center"/>
        </w:tcPr>
        <w:p>
          <w:pPr>
            <w:spacing w:after="0" w:before="0" w:line="240" w:lineRule="auto"/>
            <w:jc w:val="center"/>
          </w:pPr>
          <w:r/>
          <w:r>
            <w:rPr>
              <w:rFonts w:ascii="Cambria" w:hAnsi="Cambria"/>
              <w:b w:val="0"/>
              <w:i w:val="0"/>
              <w:color w:val="000000"/>
              <w:sz w:val="15"/>
            </w:rPr>
            <w:t>FSMS-GUI-003</w:t>
            <w:br/>
            <w:t>Version 1.0</w:t>
            <w:br/>
            <w:t>18 September 2026</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Cambria" w:hAnsi="Cambria"/>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line="259" w:lineRule="auto"/>
    </w:pPr>
    <w:rPr>
      <w:rFonts w:ascii="Cambria" w:hAnsi="Cambria"/>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Food Safety Management System Guidance</dc:title>
  <dc:subject>Practical ISO 22000 food safety management system guidance</dc:subject>
  <dc:creator>ISO Toolkits</dc:creator>
  <cp:keywords>ISO 22000, FSMS, food safety, documented information, management review</cp:keywords>
  <dc:description>Implementation and maintenance guidance for an ISO 22000-aligned food safety management system.</dc:description>
  <cp:lastModifiedBy>ISO Toolkits</cp:lastModifiedBy>
  <cp:revision>1</cp:revision>
  <dcterms:created xsi:type="dcterms:W3CDTF">2013-12-23T23:15:00Z</dcterms:created>
  <dcterms:modified xsi:type="dcterms:W3CDTF">2013-12-23T23:15:00Z</dcterms:modified>
  <cp:category>ISO 22000 Toolkit</cp:category>
</cp:coreProperties>
</file>