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  <w:spacing w:after="60"/>
        <w:jc w:val="center"/>
      </w:pPr>
      <w:r>
        <w:rPr>
          <w:rFonts w:ascii="Cambria" w:hAnsi="Cambria"/>
          <w:b/>
          <w:i w:val="0"/>
          <w:color w:val="1F4E79"/>
          <w:sz w:val="40"/>
        </w:rPr>
        <w:t>Food Safety Management Review Guidance</w:t>
      </w:r>
    </w:p>
    <w:p>
      <w:pPr>
        <w:spacing w:after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22000 FOOD SAFETY MANAGEMENT SYSTEM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FSMS-GUI-002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Guidance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2026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2027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Food Safety Team Leader / FSMS Coordinator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ISO 22000:2018 + Amendment 1:2024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ANNUAL</w:t>
            </w:r>
          </w:p>
        </w:tc>
      </w:tr>
    </w:tbl>
    <w:p>
      <w:pPr>
        <w:keepLines/>
        <w:spacing w:before="80" w:after="120"/>
      </w:pPr>
      <w:r>
        <w:rPr>
          <w:rFonts w:ascii="Cambria" w:hAnsi="Cambria"/>
          <w:b/>
          <w:i/>
          <w:color w:val="C00000"/>
          <w:sz w:val="19"/>
        </w:rPr>
        <w:t xml:space="preserve">[Note] </w:t>
      </w:r>
      <w:r>
        <w:rPr>
          <w:rFonts w:ascii="Cambria" w:hAnsi="Cambria"/>
          <w:b w:val="0"/>
          <w:i/>
          <w:color w:val="C00000"/>
          <w:sz w:val="19"/>
        </w:rPr>
        <w:t>Replace organization-specific placeholders and confirm applicable legal, regulatory, customer and sector requirements before controlled release.</w:t>
      </w:r>
    </w:p>
    <w:p/>
    <w:p>
      <w:pPr>
        <w:pStyle w:val="Heading1"/>
        <w:keepNext/>
      </w:pPr>
      <w:r>
        <w:t>1. Purpose and Use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This guidance helps organizations turn management review into an evidence-based leadership process rather than a compliance meeting. Use it with the Food Safety Management Review Procedure and Agenda &amp; Minutes template.</w:t>
      </w:r>
    </w:p>
    <w:p>
      <w:pPr>
        <w:pStyle w:val="Heading1"/>
        <w:keepNext/>
      </w:pPr>
      <w:r>
        <w:t>2. What a Strong Management Review Should Achieve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Give top management a concise, accurate view of whether the FSMS is controlling food safety risk as intended.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Identify adverse trends, recurring weaknesses and emerging changes before they become incidents.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Confirm whether resources, competence and infrastructure are adequate.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Make explicit decisions about FSMS changes and improvement priorities.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Create accountable actions that can be tracked and verified to closure.</w:t>
      </w:r>
    </w:p>
    <w:p>
      <w:pPr>
        <w:pStyle w:val="Heading1"/>
        <w:keepNext/>
      </w:pPr>
      <w:r>
        <w:t>3. Suggested Review Cycle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1944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Timing</w:t>
            </w:r>
          </w:p>
        </w:tc>
        <w:tc>
          <w:tcPr>
            <w:tcW w:type="dxa" w:w="7343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Recommended Activity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4–6 weeks before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Confirm date, reporting period, participants, responsibilities and any special focus areas.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3–4 weeks before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Request inputs from process owners using a consistent data cut-off and trend period.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2 weeks before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Validate data quality, identify gaps and resolve obvious discrepancies.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5–7 days before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Issue concise pre-read with trends, significant exceptions, unresolved actions and decision requests.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Meeting day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Focus on evidence, significance, decisions and commitments—not reading reports aloud.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Within 3–5 working days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Issue controlled minutes / decisions and start action tracking.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Between reviews</w:t>
            </w:r>
          </w:p>
        </w:tc>
        <w:tc>
          <w:tcPr>
            <w:tcW w:type="dxa" w:w="7343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Track closure and effectiveness of actions; escalate overdue high-risk actions.</w:t>
            </w:r>
          </w:p>
        </w:tc>
      </w:tr>
    </w:tbl>
    <w:p>
      <w:pPr>
        <w:pStyle w:val="Heading1"/>
        <w:keepNext/>
      </w:pPr>
      <w:r>
        <w:t>4. Building the Review Pack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Use a “management by exception” approach. The review pack should make trends and decisions visible, while source records remain available for drill-down. Avoid hundreds of pages of raw logs unless they are needed to support a specific issue.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Input</w:t>
            </w:r>
          </w:p>
        </w:tc>
        <w:tc>
          <w:tcPr>
            <w:tcW w:type="dxa" w:w="388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Useful Evidence</w:t>
            </w:r>
          </w:p>
        </w:tc>
        <w:tc>
          <w:tcPr>
            <w:tcW w:type="dxa" w:w="3671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Questions for Management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Previous actions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Action log, closure evidence, overdue actions.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Were actions effective? What remains exposed?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Context / interested parties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Legal / customer changes, business / supply changes, climate-related relevance assessment where applicable.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Do changes require new controls, resources or objectives?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Objectives / KPIs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Trend charts, target status, significant variation.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What is deteriorating, improving or no longer useful to measure?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PRPs / hazard controls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Verification trends, monitoring exceptions, validation / revalidation evidence, product release issues.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Are controls still capable and consistently implemented?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Nonconformity / CAPA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Repeat issues, root-cause themes, effectiveness checks.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Are systemic causes being eliminated?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Audit / inspection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Findings, closure, recurring themes.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What does independent evidence say about control effectiveness?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External providers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Supplier incidents, evaluation trends, testing / incoming control data.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 supplier risk changing? Is escalation needed?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Incidents / complaints / recall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Incident investigations, complaint trends, mock or actual withdrawal / recall results.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What systemic learning must be applied?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Resources / competence</w:t>
            </w:r>
          </w:p>
        </w:tc>
        <w:tc>
          <w:tcPr>
            <w:tcW w:type="dxa" w:w="38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Vacancies, training gaps, equipment / laboratory issues, maintenance / calibration constraints.</w:t>
            </w:r>
          </w:p>
        </w:tc>
        <w:tc>
          <w:tcPr>
            <w:tcW w:type="dxa" w:w="3671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What resource decisions are needed now?</w:t>
            </w:r>
          </w:p>
        </w:tc>
      </w:tr>
    </w:tbl>
    <w:p>
      <w:pPr>
        <w:pStyle w:val="Heading1"/>
        <w:keepNext/>
      </w:pPr>
      <w:r>
        <w:t>5. Data Quality Before the Meeting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23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Check</w:t>
            </w:r>
          </w:p>
        </w:tc>
        <w:tc>
          <w:tcPr>
            <w:tcW w:type="dxa" w:w="705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Expected Standard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Period consistency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Comparable data uses the same or clearly explained reporting period.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Definitions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KPIs and status terms have stable definitions; changes are explained.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Source evidence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Key numbers can be traced to underlying records / systems.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Completeness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Missing data is visible and explained rather than silently excluded.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Trend context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 single adverse result is distinguished from a recurring or systemic trend.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Food safety significance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The pack highlights significance, not only volume of data.</w:t>
            </w:r>
          </w:p>
        </w:tc>
      </w:tr>
      <w:tr>
        <w:trPr>
          <w:cantSplit/>
        </w:trPr>
        <w:tc>
          <w:tcPr>
            <w:tcW w:type="dxa" w:w="223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Actual vs illustrative data</w:t>
            </w:r>
          </w:p>
        </w:tc>
        <w:tc>
          <w:tcPr>
            <w:tcW w:type="dxa" w:w="705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Examples used in templates or training are excluded from actual performance reporting.</w:t>
            </w:r>
          </w:p>
        </w:tc>
      </w:tr>
    </w:tbl>
    <w:p>
      <w:pPr>
        <w:pStyle w:val="Heading1"/>
        <w:keepNext/>
      </w:pPr>
      <w:r>
        <w:t>6. How to Facilitate the Review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Confirm scope, reporting period and status of previous review actions.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Start with material changes and food safety exceptions rather than routine data.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For each significant issue, ask: what happened, why is it significant, is the current control effective, and what decision is required?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Separate operational correction from systemic corrective action and longer-term improvement.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Record a decision even when the decision is “no change required,” provided the basis is clear.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Assign actions during the meeting with owner, due date and expected evidence.</w:t>
      </w:r>
    </w:p>
    <w:p>
      <w:pPr>
        <w:pStyle w:val="ListNumber"/>
        <w:spacing w:after="40"/>
      </w:pPr>
      <w:r>
        <w:rPr>
          <w:rFonts w:ascii="Cambria" w:hAnsi="Cambria"/>
          <w:b w:val="0"/>
          <w:i w:val="0"/>
          <w:color w:val="000000"/>
          <w:sz w:val="20"/>
        </w:rPr>
        <w:t>Close by confirming the overall conclusion on FSMS suitability, adequacy and effectiveness and any required changes.</w:t>
      </w:r>
    </w:p>
    <w:p>
      <w:pPr>
        <w:pStyle w:val="Heading1"/>
        <w:keepNext/>
      </w:pPr>
      <w:r>
        <w:t>7. Interpreting Key Performance Information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16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Signal</w:t>
            </w:r>
          </w:p>
        </w:tc>
        <w:tc>
          <w:tcPr>
            <w:tcW w:type="dxa" w:w="612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Management Interpretation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Repeated monitoring deviations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May indicate control capability, equipment, competence, method or hazard-analysis weakness; require trend and cause review.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High correction volume but few CAPAs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May indicate recurring symptoms are being fixed without addressing systemic causes.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Good audit score but increasing complaints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Independent evidence is inconsistent; review audit scope, customer data and operational controls.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Supplier acceptance rate stable but food safety incidents rising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Current supplier metrics may not measure the risk that matters; revise evaluation criteria.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Mock recall is fast but quantity reconciliation is poor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Retrieval speed alone is insufficient; traceability completeness / mass balance needs action.</w:t>
            </w:r>
          </w:p>
        </w:tc>
      </w:tr>
      <w:tr>
        <w:trPr>
          <w:cantSplit/>
        </w:trPr>
        <w:tc>
          <w:tcPr>
            <w:tcW w:type="dxa" w:w="31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Objectives always achieved with no improvement challenge</w:t>
            </w:r>
          </w:p>
        </w:tc>
        <w:tc>
          <w:tcPr>
            <w:tcW w:type="dxa" w:w="61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Targets may be too weak or no longer meaningful; management should review relevance.</w:t>
            </w:r>
          </w:p>
        </w:tc>
      </w:tr>
    </w:tbl>
    <w:p>
      <w:pPr>
        <w:pStyle w:val="Heading1"/>
        <w:keepNext/>
      </w:pPr>
      <w:r>
        <w:t>8. Decision Quality Rules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A decision should state what will change, why, who owns it and when it is due.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Resource decisions should identify the capability required, not only a budget amount.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Where evidence is insufficient, assign a fact-finding action with a clear deadline instead of accepting an unsupported conclusion.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Actions that affect hazard control should trigger controlled update, communication and verification / validation steps as applicable.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High-risk overdue actions should be escalated between scheduled management reviews rather than waiting for the next meeting.</w:t>
      </w:r>
    </w:p>
    <w:p>
      <w:pPr>
        <w:pStyle w:val="Heading1"/>
        <w:keepNext/>
      </w:pPr>
      <w:r>
        <w:t>9. Action Closure and Effectiveness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Do not close a management review action simply because a document was issued or equipment was purchased. Closure should demonstrate the required activity was completed; where the action was intended to improve control effectiveness, confirm the intended result occurred.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944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Action Type</w:t>
            </w:r>
          </w:p>
        </w:tc>
        <w:tc>
          <w:tcPr>
            <w:tcW w:type="dxa" w:w="3744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Completion Evidence</w:t>
            </w:r>
          </w:p>
        </w:tc>
        <w:tc>
          <w:tcPr>
            <w:tcW w:type="dxa" w:w="360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Possible Effectiveness Evidence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Procedure revision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Approved revised procedure; communication / training where required.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Follow-up verification shows correct implementation.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Equipment / alarm change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Installation / configuration and commissioning record.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Functional test and trend after implementation.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Supplier improvement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Agreed supplier action and evidence.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Subsequent delivery / audit / test results improve.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Competence action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Training / coaching and attendance.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Observed competence or assessment result.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Hazard-control change</w:t>
            </w:r>
          </w:p>
        </w:tc>
        <w:tc>
          <w:tcPr>
            <w:tcW w:type="dxa" w:w="3744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Updated analysis / plan and authorization.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Validation / verification demonstrates control remains effective.</w:t>
            </w:r>
          </w:p>
        </w:tc>
      </w:tr>
    </w:tbl>
    <w:p>
      <w:pPr>
        <w:pStyle w:val="Heading1"/>
        <w:keepNext/>
      </w:pPr>
      <w:r>
        <w:t>10. Common Management Review Weaknesses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09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Weakness</w:t>
            </w:r>
          </w:p>
        </w:tc>
        <w:tc>
          <w:tcPr>
            <w:tcW w:type="dxa" w:w="619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Better Practice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Minutes list data but no management conclusion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Record the conclusion / decision for each material agenda item.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Review is held only immediately before an audit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Use a planned business rhythm that supports timely decisions.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Inputs are copied from last year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Use current reporting period, current issues and trend evidence.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Actions have no owner or due date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Assign accountability during the meeting.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High-risk issues remain “open” without escalation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Define escalation triggers and interim control.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 evidence that actions worked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Add effectiveness verification for systemic or control-related actions.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Climate change amendment ignored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Evaluate relevance within context / interested parties and record the organization’s conclusion where applicable.</w:t>
            </w:r>
          </w:p>
        </w:tc>
      </w:tr>
    </w:tbl>
    <w:p>
      <w:pPr>
        <w:pStyle w:val="Heading1"/>
        <w:keepNext/>
      </w:pPr>
      <w:r>
        <w:t>11. Evidence Readiness Checklist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79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Check</w:t>
            </w:r>
          </w:p>
        </w:tc>
        <w:tc>
          <w:tcPr>
            <w:tcW w:type="dxa" w:w="849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Approved management review procedure and current agenda / minutes template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Evidence that planned reviews occurred at the defined interval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Current input pack with traceable data sources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Status of previous actions and closure evidence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Documented decisions and required FSMS changes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Resource decisions and follow-up where applicable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Action tracker with owners, due dates and status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Effectiveness evidence for completed systemic actions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4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Controlled distribution / retention of approved minutes</w:t>
            </w:r>
          </w:p>
        </w:tc>
      </w:tr>
    </w:tbl>
    <w:p>
      <w:pPr>
        <w:pStyle w:val="Heading1"/>
        <w:keepNext/>
      </w:pPr>
      <w:r>
        <w:t>References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ISO 22000:2018; primary relevance: Clause 9.3 Management review.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ISO 22000:2018/Amd 1:2024, Amendment 1: Climate action changes.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Food Safety Management Review Procedure.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Food Safety Management Review Agenda &amp; Minutes.</w:t>
      </w:r>
    </w:p>
    <w:p>
      <w:pPr>
        <w:pStyle w:val="Heading1"/>
        <w:keepNext/>
      </w:pPr>
      <w:r>
        <w:t>Revision and Approval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93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655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324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Change Summary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1655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18 September 2026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controlled issue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</w:pPr>
    <w:r/>
  </w:p>
  <w:tbl>
    <w:tblPr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</w:tcPr>
        <w:p>
          <w:pPr>
            <w:spacing w:after="0" w:before="0" w:line="240" w:lineRule="auto"/>
            <w:jc w:val="left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INTERNAL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www.iso-toolkits.org  |  info@iso-toolkits.org</w:t>
          </w:r>
        </w:p>
      </w:tc>
      <w:tc>
        <w:tcPr>
          <w:tcW w:type="dxa" w:w="1944"/>
        </w:tcPr>
        <w:p>
          <w:pPr>
            <w:jc w:val="right"/>
          </w:pPr>
          <w:r/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Page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PAGE </w:instrText>
            <w:fldChar w:fldCharType="end"/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 of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NUMPAGES </w:instrText>
            <w:fldChar w:fldCharType="end"/>
          </w:r>
        </w:p>
      </w:tc>
    </w:tr>
  </w:tbl>
</w:ftr>
</file>

<file path=word/header1.xml><?xml version="1.0" encoding="utf-8"?>
<w:hdr xmlns:w="http://schemas.openxmlformats.org/wordprocessingml/2006/main">
  <w:p>
    <w:pPr>
      <w:pStyle w:val="Header"/>
      <w:spacing w:after="0" w:before="0"/>
    </w:pPr>
    <w:r/>
  </w:p>
  <w:tbl>
    <w:tblPr>
      <w:tblStyle w:val="TableGrid"/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  <w:shd w:fill="F2F2F2" w:val="clea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[ORGANIZATION NAME]</w:t>
            <w:br/>
            <w:t>Food Safety Management Review Guidance</w:t>
          </w:r>
        </w:p>
      </w:tc>
      <w:tc>
        <w:tcPr>
          <w:tcW w:type="dxa" w:w="19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FSMS-GUI-002</w:t>
            <w:br/>
            <w:t>Version 1.0</w:t>
            <w:br/>
            <w:t>18 September 2026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9" w:lineRule="auto"/>
    </w:pPr>
    <w:rPr>
      <w:rFonts w:ascii="Cambria" w:hAnsi="Cambria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Food Safety Management Review Guidance</dc:title>
  <dc:subject>Practical guidance for ISO 22000 management review</dc:subject>
  <dc:creator>ISO Toolkits</dc:creator>
  <cp:keywords>ISO 22000, FSMS, food safety, documented information, management review</cp:keywords>
  <dc:description>Guidance for preparing evidence, facilitating review, making decisions and closing management review actions.</dc:description>
  <cp:lastModifiedBy>ISO Toolkits</cp:lastModifiedBy>
  <cp:revision>1</cp:revision>
  <dcterms:created xsi:type="dcterms:W3CDTF">2013-12-23T23:15:00Z</dcterms:created>
  <dcterms:modified xsi:type="dcterms:W3CDTF">2013-12-23T23:15:00Z</dcterms:modified>
  <cp:category>ISO 22000 Toolkit</cp:category>
</cp:coreProperties>
</file>