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spacing w:before="440" w:after="200"/>
        <w:jc w:val="center"/>
      </w:pPr>
      <w:r>
        <w:rPr>
          <w:rFonts w:ascii="Cambria" w:hAnsi="Cambria" w:eastAsia="Cambria"/>
          <w:b/>
          <w:color w:val="1F4E79"/>
          <w:sz w:val="44"/>
        </w:rPr>
        <w:t>FOOD SAFETY MANAGEMENT MANUAL</w:t>
      </w:r>
    </w:p>
    <w:p>
      <w:pPr>
        <w:spacing w:after="320"/>
        <w:jc w:val="center"/>
      </w:pPr>
      <w:r>
        <w:rPr>
          <w:rFonts w:ascii="Cambria" w:hAnsi="Cambria" w:eastAsia="Cambria"/>
          <w:b/>
          <w:color w:val="000000"/>
          <w:sz w:val="24"/>
        </w:rPr>
        <w:t>ISO 22000:2018 + Amd 1:2024</w:t>
      </w:r>
    </w:p>
    <w:p>
      <w:pPr>
        <w:spacing w:after="360"/>
        <w:jc w:val="center"/>
      </w:pPr>
      <w:r>
        <w:rPr>
          <w:rFonts w:ascii="Cambria" w:hAnsi="Cambria" w:eastAsia="Cambria"/>
          <w:i/>
          <w:color w:val="666666"/>
          <w:sz w:val="22"/>
        </w:rPr>
        <w:t>Food Safety Management System Framework</w:t>
      </w:r>
    </w:p>
    <w:tbl>
      <w:tblPr>
        <w:tblW w:type="auto" w:w="0"/>
        <w:jc w:val="center"/>
        <w:tblLayout w:type="fixed"/>
        <w:tblLook w:val="04A0"/>
      </w:tblPr>
      <w:tblGrid>
        <w:gridCol w:w="4677"/>
        <w:gridCol w:w="4677"/>
      </w:tblGrid>
      <w:tr>
        <w:trPr>
          <w:tblHeader w:val="true"/>
        </w:trPr>
        <w:tc>
          <w:tcPr>
            <w:tcW w:type="dxa" w:w="4649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8"/>
              </w:rPr>
              <w:t>Document Owner</w:t>
            </w:r>
          </w:p>
        </w:tc>
        <w:tc>
          <w:tcPr>
            <w:tcW w:type="dxa" w:w="4649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8"/>
              </w:rPr>
              <w:t>Approver</w:t>
            </w:r>
          </w:p>
        </w:tc>
      </w:tr>
      <w:tr>
        <w:trPr>
          <w:cantSplit/>
        </w:trPr>
        <w:tc>
          <w:tcPr>
            <w:tcW w:type="dxa" w:w="4649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8"/>
              </w:rPr>
              <w:t>Food Safety Team Leader</w:t>
            </w:r>
          </w:p>
        </w:tc>
        <w:tc>
          <w:tcPr>
            <w:tcW w:type="dxa" w:w="4649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8"/>
              </w:rPr>
              <w:t>Top Management</w:t>
            </w:r>
          </w:p>
        </w:tc>
      </w:tr>
      <w:tr>
        <w:trPr>
          <w:cantSplit/>
        </w:trPr>
        <w:tc>
          <w:tcPr>
            <w:tcW w:type="dxa" w:w="4649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8"/>
              </w:rPr>
              <w:t>Classification: INTERNAL</w:t>
            </w:r>
          </w:p>
        </w:tc>
        <w:tc>
          <w:tcPr>
            <w:tcW w:type="dxa" w:w="4649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8"/>
              </w:rPr>
              <w:t>Next Review: 2027-09-18</w:t>
            </w:r>
          </w:p>
        </w:tc>
      </w:tr>
    </w:tbl>
    <w:p>
      <w:pPr>
        <w:spacing w:after="40"/>
      </w:pPr>
    </w:p>
    <w:tbl>
      <w:tblPr>
        <w:tblW w:type="auto" w:w="0"/>
        <w:jc w:val="center"/>
        <w:tblLayout w:type="autofit"/>
        <w:tblLook w:val="04A0"/>
      </w:tblPr>
      <w:tblGrid>
        <w:gridCol w:w="9355"/>
      </w:tblGrid>
      <w:tr>
        <w:trPr>
          <w:cantSplit/>
        </w:trPr>
        <w:tc>
          <w:tcPr>
            <w:tcW w:type="dxa" w:w="9355"/>
            <w:tcBorders>
              <w:top w:val="single" w:sz="3" w:space="0" w:color="E6D690"/>
              <w:left w:val="single" w:sz="3" w:space="0" w:color="E6D690"/>
              <w:bottom w:val="single" w:sz="3" w:space="0" w:color="E6D690"/>
              <w:right w:val="single" w:sz="3" w:space="0" w:color="E6D690"/>
              <w:insideH w:val="single" w:sz="3" w:space="0" w:color="E6D690"/>
              <w:insideV w:val="single" w:sz="3" w:space="0" w:color="E6D690"/>
            </w:tcBorders>
            <w:shd w:fill="FFF2CC" w:val="clear"/>
            <w:tcMar>
              <w:top w:w="70" w:type="dxa"/>
              <w:left w:w="90" w:type="dxa"/>
              <w:bottom w:w="70" w:type="dxa"/>
              <w:right w:w="90" w:type="dxa"/>
            </w:tcMar>
          </w:tcPr>
          <w:p>
            <w:pPr>
              <w:keepLines/>
              <w:spacing w:before="0" w:after="0" w:line="252" w:lineRule="auto"/>
            </w:pPr>
            <w:r>
              <w:rPr>
                <w:rFonts w:ascii="Cambria" w:hAnsi="Cambria" w:eastAsia="Cambria"/>
                <w:b/>
                <w:i/>
                <w:color w:val="C00000"/>
                <w:sz w:val="18"/>
              </w:rPr>
              <w:t xml:space="preserve">[Note] </w:t>
            </w:r>
            <w:r>
              <w:rPr>
                <w:rFonts w:ascii="Cambria" w:hAnsi="Cambria" w:eastAsia="Cambria"/>
                <w:i/>
                <w:color w:val="C00000"/>
                <w:sz w:val="18"/>
              </w:rPr>
              <w:t>Replace organization-specific placeholders before controlled release. Product-, process-, site-, legal-, regulatory- and customer-specific food-safety requirements must be maintained in approved controlled sources; this manual does not define universal hazard limits or legal criteria.</w:t>
            </w:r>
          </w:p>
        </w:tc>
      </w:tr>
    </w:tbl>
    <w:p>
      <w:pPr>
        <w:spacing w:after="20"/>
      </w:pPr>
    </w:p>
    <w:p>
      <w:pPr>
        <w:pStyle w:val="Heading1"/>
        <w:keepNext/>
        <w:spacing w:before="120" w:after="60" w:line="252" w:lineRule="auto"/>
      </w:pPr>
      <w:r>
        <w:rPr>
          <w:rFonts w:ascii="Cambria" w:hAnsi="Cambria" w:eastAsia="Cambria"/>
          <w:b/>
          <w:color w:val="1F4E79"/>
          <w:sz w:val="24"/>
        </w:rPr>
        <w:t>1. Purpose</w:t>
      </w:r>
    </w:p>
    <w:p>
      <w:pPr>
        <w:spacing w:before="0" w:after="80" w:line="252" w:lineRule="auto"/>
      </w:pPr>
      <w:r>
        <w:rPr>
          <w:rFonts w:ascii="Cambria" w:hAnsi="Cambria" w:eastAsia="Cambria"/>
          <w:i w:val="0"/>
          <w:sz w:val="20"/>
        </w:rPr>
        <w:t>This Manual describes the organization's framework for establishing, implementing, maintaining, evaluating and continually improving a Food Safety Management System (FSMS) aligned with ISO 22000:2018 and its 2024 climate-action amendment. It explains how governance, prerequisite programmes, hazard control, traceability, emergency response, verification and improvement interact.</w:t>
      </w:r>
    </w:p>
    <w:p>
      <w:pPr>
        <w:pStyle w:val="Heading1"/>
        <w:keepNext/>
        <w:spacing w:before="120" w:after="60" w:line="252" w:lineRule="auto"/>
      </w:pPr>
      <w:r>
        <w:rPr>
          <w:rFonts w:ascii="Cambria" w:hAnsi="Cambria" w:eastAsia="Cambria"/>
          <w:b/>
          <w:color w:val="1F4E79"/>
          <w:sz w:val="24"/>
        </w:rPr>
        <w:t>2. FSMS Scope</w:t>
      </w:r>
    </w:p>
    <w:p>
      <w:pPr>
        <w:spacing w:before="0" w:after="80" w:line="252" w:lineRule="auto"/>
      </w:pPr>
      <w:r>
        <w:rPr>
          <w:rFonts w:ascii="Cambria" w:hAnsi="Cambria" w:eastAsia="Cambria"/>
          <w:i w:val="0"/>
          <w:sz w:val="20"/>
        </w:rPr>
        <w:t>The FSMS applies to: [DEFINE LEGAL ENTITY / SITE(S) / PRODUCT FAMILIES / FOOD-CHAIN SERVICES / STORAGE / DISTRIBUTION / OUTSOURCED PROCESSES]. Scope boundaries, interfaces and exclusions must be justified, documented and periodically reviewed.</w:t>
      </w:r>
    </w:p>
    <w:p>
      <w:pPr>
        <w:pStyle w:val="Heading1"/>
        <w:keepNext/>
        <w:spacing w:before="120" w:after="60" w:line="252" w:lineRule="auto"/>
      </w:pPr>
      <w:r>
        <w:rPr>
          <w:rFonts w:ascii="Cambria" w:hAnsi="Cambria" w:eastAsia="Cambria"/>
          <w:b/>
          <w:color w:val="1F4E79"/>
          <w:sz w:val="24"/>
        </w:rPr>
        <w:t>3. Organization Context and Interested Parties</w:t>
      </w:r>
    </w:p>
    <w:p>
      <w:pPr>
        <w:spacing w:before="0" w:after="80" w:line="252" w:lineRule="auto"/>
      </w:pPr>
      <w:r>
        <w:rPr>
          <w:rFonts w:ascii="Cambria" w:hAnsi="Cambria" w:eastAsia="Cambria"/>
          <w:i w:val="0"/>
          <w:sz w:val="20"/>
        </w:rPr>
        <w:t>The organization reviews internal and external issues that can affect its ability to achieve intended food-safety outcomes. Inputs include business strategy, product and process changes, technologies, supply-chain dependencies, food-safety culture, legal/customer requirements, incidents, market expectations and environmental/climate conditions relevant to the FSMS.</w:t>
      </w:r>
    </w:p>
    <w:tbl>
      <w:tblPr>
        <w:tblW w:type="auto" w:w="0"/>
        <w:jc w:val="center"/>
        <w:tblLayout w:type="autofit"/>
        <w:tblLook w:val="04A0"/>
      </w:tblPr>
      <w:tblGrid>
        <w:gridCol w:w="9355"/>
      </w:tblGrid>
      <w:tr>
        <w:trPr>
          <w:cantSplit/>
        </w:trPr>
        <w:tc>
          <w:tcPr>
            <w:tcW w:type="dxa" w:w="9355"/>
            <w:tcBorders>
              <w:top w:val="single" w:sz="3" w:space="0" w:color="E6D690"/>
              <w:left w:val="single" w:sz="3" w:space="0" w:color="E6D690"/>
              <w:bottom w:val="single" w:sz="3" w:space="0" w:color="E6D690"/>
              <w:right w:val="single" w:sz="3" w:space="0" w:color="E6D690"/>
              <w:insideH w:val="single" w:sz="3" w:space="0" w:color="E6D690"/>
              <w:insideV w:val="single" w:sz="3" w:space="0" w:color="E6D690"/>
            </w:tcBorders>
            <w:shd w:fill="FFF2CC" w:val="clear"/>
            <w:tcMar>
              <w:top w:w="70" w:type="dxa"/>
              <w:left w:w="90" w:type="dxa"/>
              <w:bottom w:w="70" w:type="dxa"/>
              <w:right w:w="90" w:type="dxa"/>
            </w:tcMar>
          </w:tcPr>
          <w:p>
            <w:pPr>
              <w:keepLines/>
              <w:spacing w:before="0" w:after="0" w:line="252" w:lineRule="auto"/>
            </w:pPr>
            <w:r>
              <w:rPr>
                <w:rFonts w:ascii="Cambria" w:hAnsi="Cambria" w:eastAsia="Cambria"/>
                <w:b/>
                <w:i/>
                <w:color w:val="C00000"/>
                <w:sz w:val="18"/>
              </w:rPr>
              <w:t xml:space="preserve">[Note] </w:t>
            </w:r>
            <w:r>
              <w:rPr>
                <w:rFonts w:ascii="Cambria" w:hAnsi="Cambria" w:eastAsia="Cambria"/>
                <w:i/>
                <w:color w:val="C00000"/>
                <w:sz w:val="18"/>
              </w:rPr>
              <w:t>The context review should document whether climate change is relevant to the FSMS and whether relevant interested parties have climate-related requirements, consistent with ISO 22000:2018/Amd 1:2024.</w:t>
            </w:r>
          </w:p>
        </w:tc>
      </w:tr>
    </w:tbl>
    <w:p>
      <w:pPr>
        <w:spacing w:after="20"/>
      </w:pPr>
    </w:p>
    <w:p>
      <w:pPr>
        <w:pStyle w:val="Heading1"/>
        <w:keepNext/>
        <w:spacing w:before="120" w:after="60" w:line="252" w:lineRule="auto"/>
      </w:pPr>
      <w:r>
        <w:rPr>
          <w:rFonts w:ascii="Cambria" w:hAnsi="Cambria" w:eastAsia="Cambria"/>
          <w:b/>
          <w:color w:val="1F4E79"/>
          <w:sz w:val="24"/>
        </w:rPr>
        <w:t>4. Interested Parties and Food-Safety Requirements</w:t>
      </w:r>
    </w:p>
    <w:tbl>
      <w:tblPr>
        <w:tblW w:type="auto" w:w="0"/>
        <w:jc w:val="center"/>
        <w:tblLayout w:type="fixed"/>
        <w:tblLook w:val="04A0"/>
      </w:tblPr>
      <w:tblGrid>
        <w:gridCol w:w="3118"/>
        <w:gridCol w:w="3118"/>
        <w:gridCol w:w="3118"/>
      </w:tblGrid>
      <w:tr>
        <w:trPr>
          <w:tblHeader w:val="true"/>
        </w:trPr>
        <w:tc>
          <w:tcPr>
            <w:tcW w:type="dxa" w:w="238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5"/>
              </w:rPr>
              <w:t>Interested Party / Source</w:t>
            </w:r>
          </w:p>
        </w:tc>
        <w:tc>
          <w:tcPr>
            <w:tcW w:type="dxa" w:w="4309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5"/>
              </w:rPr>
              <w:t>Typical Needs / Requirements</w:t>
            </w:r>
          </w:p>
        </w:tc>
        <w:tc>
          <w:tcPr>
            <w:tcW w:type="dxa" w:w="2665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5"/>
              </w:rPr>
              <w:t>Controlled Evidence</w:t>
            </w:r>
          </w:p>
        </w:tc>
      </w:tr>
      <w:tr>
        <w:trPr>
          <w:cantSplit/>
        </w:trPr>
        <w:tc>
          <w:tcPr>
            <w:tcW w:type="dxa" w:w="238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Regulators / Authorities</w:t>
            </w:r>
          </w:p>
        </w:tc>
        <w:tc>
          <w:tcPr>
            <w:tcW w:type="dxa" w:w="4309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Applicable food-safety, labeling, hygiene, import/export, licensing, recall or reporting requirements.</w:t>
            </w:r>
          </w:p>
        </w:tc>
        <w:tc>
          <w:tcPr>
            <w:tcW w:type="dxa" w:w="2665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Requirements register / permits / authority sources</w:t>
            </w:r>
          </w:p>
        </w:tc>
      </w:tr>
      <w:tr>
        <w:trPr>
          <w:cantSplit/>
        </w:trPr>
        <w:tc>
          <w:tcPr>
            <w:tcW w:type="dxa" w:w="238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Customers / Brand Owners</w:t>
            </w:r>
          </w:p>
        </w:tc>
        <w:tc>
          <w:tcPr>
            <w:tcW w:type="dxa" w:w="4309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Product specifications, approved suppliers, allergen, testing, audit, incident and change-notification requirements.</w:t>
            </w:r>
          </w:p>
        </w:tc>
        <w:tc>
          <w:tcPr>
            <w:tcW w:type="dxa" w:w="2665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Contracts / specifications / portals</w:t>
            </w:r>
          </w:p>
        </w:tc>
      </w:tr>
      <w:tr>
        <w:trPr>
          <w:cantSplit/>
        </w:trPr>
        <w:tc>
          <w:tcPr>
            <w:tcW w:type="dxa" w:w="238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Consumers / End Users</w:t>
            </w:r>
          </w:p>
        </w:tc>
        <w:tc>
          <w:tcPr>
            <w:tcW w:type="dxa" w:w="4309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Safe product, accurate food-safety information and handling/storage information as applicable.</w:t>
            </w:r>
          </w:p>
        </w:tc>
        <w:tc>
          <w:tcPr>
            <w:tcW w:type="dxa" w:w="2665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Product information / complaint trends</w:t>
            </w:r>
          </w:p>
        </w:tc>
      </w:tr>
      <w:tr>
        <w:trPr>
          <w:cantSplit/>
        </w:trPr>
        <w:tc>
          <w:tcPr>
            <w:tcW w:type="dxa" w:w="238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Suppliers / Service Providers</w:t>
            </w:r>
          </w:p>
        </w:tc>
        <w:tc>
          <w:tcPr>
            <w:tcW w:type="dxa" w:w="4309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Clear specifications, change communication, acceptance criteria and responsibilities.</w:t>
            </w:r>
          </w:p>
        </w:tc>
        <w:tc>
          <w:tcPr>
            <w:tcW w:type="dxa" w:w="2665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Supplier agreements / specifications</w:t>
            </w:r>
          </w:p>
        </w:tc>
      </w:tr>
      <w:tr>
        <w:trPr>
          <w:cantSplit/>
        </w:trPr>
        <w:tc>
          <w:tcPr>
            <w:tcW w:type="dxa" w:w="238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Employees / Contractors</w:t>
            </w:r>
          </w:p>
        </w:tc>
        <w:tc>
          <w:tcPr>
            <w:tcW w:type="dxa" w:w="4309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Clear roles, competence, hygiene, reporting and escalation expectations.</w:t>
            </w:r>
          </w:p>
        </w:tc>
        <w:tc>
          <w:tcPr>
            <w:tcW w:type="dxa" w:w="2665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Training / role records</w:t>
            </w:r>
          </w:p>
        </w:tc>
      </w:tr>
    </w:tbl>
    <w:p>
      <w:pPr>
        <w:pStyle w:val="Heading1"/>
        <w:keepNext/>
        <w:spacing w:before="120" w:after="60" w:line="252" w:lineRule="auto"/>
      </w:pPr>
      <w:r>
        <w:rPr>
          <w:rFonts w:ascii="Cambria" w:hAnsi="Cambria" w:eastAsia="Cambria"/>
          <w:b/>
          <w:color w:val="1F4E79"/>
          <w:sz w:val="24"/>
        </w:rPr>
        <w:t>5. Leadership, Policy and Responsibilities</w:t>
      </w:r>
    </w:p>
    <w:p>
      <w:pPr>
        <w:spacing w:before="0" w:after="80" w:line="252" w:lineRule="auto"/>
      </w:pPr>
      <w:r>
        <w:rPr>
          <w:rFonts w:ascii="Cambria" w:hAnsi="Cambria" w:eastAsia="Cambria"/>
          <w:i w:val="0"/>
          <w:sz w:val="20"/>
        </w:rPr>
        <w:t>Top management is accountable for FSMS effectiveness, food-safety policy and objectives, integration of FSMS requirements into business processes, provision of resources, communication of food-safety importance and support for continual improvement. A competent food safety team and Food Safety Team Leader coordinate technical hazard-control activities and FSMS updates.</w:t>
      </w:r>
    </w:p>
    <w:tbl>
      <w:tblPr>
        <w:tblW w:type="auto" w:w="0"/>
        <w:jc w:val="center"/>
        <w:tblLayout w:type="fixed"/>
        <w:tblLook w:val="04A0"/>
      </w:tblPr>
      <w:tblGrid>
        <w:gridCol w:w="4677"/>
        <w:gridCol w:w="4677"/>
      </w:tblGrid>
      <w:tr>
        <w:trPr>
          <w:tblHeader w:val="true"/>
        </w:trPr>
        <w:tc>
          <w:tcPr>
            <w:tcW w:type="dxa" w:w="255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6"/>
              </w:rPr>
              <w:t>Role</w:t>
            </w:r>
          </w:p>
        </w:tc>
        <w:tc>
          <w:tcPr>
            <w:tcW w:type="dxa" w:w="6746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6"/>
              </w:rPr>
              <w:t>Core FSMS Responsibilities</w:t>
            </w:r>
          </w:p>
        </w:tc>
      </w:tr>
      <w:tr>
        <w:trPr>
          <w:cantSplit/>
        </w:trPr>
        <w:tc>
          <w:tcPr>
            <w:tcW w:type="dxa" w:w="255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Top Management</w:t>
            </w:r>
          </w:p>
        </w:tc>
        <w:tc>
          <w:tcPr>
            <w:tcW w:type="dxa" w:w="6746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Approve scope/policy/objectives, provide resources, support food-safety culture, review performance and make management-review decisions.</w:t>
            </w:r>
          </w:p>
        </w:tc>
      </w:tr>
      <w:tr>
        <w:trPr>
          <w:cantSplit/>
        </w:trPr>
        <w:tc>
          <w:tcPr>
            <w:tcW w:type="dxa" w:w="255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Food Safety Team Leader</w:t>
            </w:r>
          </w:p>
        </w:tc>
        <w:tc>
          <w:tcPr>
            <w:tcW w:type="dxa" w:w="6746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Lead FSMS coordination, food safety team activities, hazard-control updates, verification planning, communication and management reporting.</w:t>
            </w:r>
          </w:p>
        </w:tc>
      </w:tr>
      <w:tr>
        <w:trPr>
          <w:cantSplit/>
        </w:trPr>
        <w:tc>
          <w:tcPr>
            <w:tcW w:type="dxa" w:w="255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Food Safety Team</w:t>
            </w:r>
          </w:p>
        </w:tc>
        <w:tc>
          <w:tcPr>
            <w:tcW w:type="dxa" w:w="6746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Maintain technical inputs, hazard analysis, control-measure decisions, validation, verification and FSMS updating.</w:t>
            </w:r>
          </w:p>
        </w:tc>
      </w:tr>
      <w:tr>
        <w:trPr>
          <w:cantSplit/>
        </w:trPr>
        <w:tc>
          <w:tcPr>
            <w:tcW w:type="dxa" w:w="255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Process Owners</w:t>
            </w:r>
          </w:p>
        </w:tc>
        <w:tc>
          <w:tcPr>
            <w:tcW w:type="dxa" w:w="6746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Implement PRPs/controls, maintain records, respond to deviations and support verification/corrective action.</w:t>
            </w:r>
          </w:p>
        </w:tc>
      </w:tr>
      <w:tr>
        <w:trPr>
          <w:cantSplit/>
        </w:trPr>
        <w:tc>
          <w:tcPr>
            <w:tcW w:type="dxa" w:w="255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All Personnel</w:t>
            </w:r>
          </w:p>
        </w:tc>
        <w:tc>
          <w:tcPr>
            <w:tcW w:type="dxa" w:w="6746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Follow food-safety controls, report deviations/conditions and complete required competence/awareness activities.</w:t>
            </w:r>
          </w:p>
        </w:tc>
      </w:tr>
    </w:tbl>
    <w:p>
      <w:pPr>
        <w:pStyle w:val="Heading1"/>
        <w:keepNext/>
        <w:spacing w:before="120" w:after="60" w:line="252" w:lineRule="auto"/>
      </w:pPr>
      <w:r>
        <w:rPr>
          <w:rFonts w:ascii="Cambria" w:hAnsi="Cambria" w:eastAsia="Cambria"/>
          <w:b/>
          <w:color w:val="1F4E79"/>
          <w:sz w:val="24"/>
        </w:rPr>
        <w:t>6. Planning: Risks, Opportunities, Objectives and Change</w:t>
      </w:r>
    </w:p>
    <w:p>
      <w:pPr>
        <w:spacing w:before="0" w:after="80" w:line="252" w:lineRule="auto"/>
      </w:pPr>
      <w:r>
        <w:rPr>
          <w:rFonts w:ascii="Cambria" w:hAnsi="Cambria" w:eastAsia="Cambria"/>
          <w:i w:val="0"/>
          <w:sz w:val="20"/>
        </w:rPr>
        <w:t>The FSMS addresses management-system risks and opportunities that can influence intended outcomes and establishes measurable food-safety objectives. Material changes are planned so that food-safety responsibilities, resources, PRPs, hazard analysis, controls, competence and verification are considered before or during implementation.</w:t>
      </w:r>
    </w:p>
    <w:p>
      <w:pPr>
        <w:pStyle w:val="Heading1"/>
        <w:keepNext/>
        <w:spacing w:before="120" w:after="60" w:line="252" w:lineRule="auto"/>
      </w:pPr>
      <w:r>
        <w:rPr>
          <w:rFonts w:ascii="Cambria" w:hAnsi="Cambria" w:eastAsia="Cambria"/>
          <w:b/>
          <w:color w:val="1F4E79"/>
          <w:sz w:val="24"/>
        </w:rPr>
        <w:t>7. Support Processes</w:t>
      </w:r>
    </w:p>
    <w:tbl>
      <w:tblPr>
        <w:tblW w:type="auto" w:w="0"/>
        <w:jc w:val="center"/>
        <w:tblLayout w:type="fixed"/>
        <w:tblLook w:val="04A0"/>
      </w:tblPr>
      <w:tblGrid>
        <w:gridCol w:w="4677"/>
        <w:gridCol w:w="4677"/>
      </w:tblGrid>
      <w:tr>
        <w:trPr>
          <w:tblHeader w:val="true"/>
        </w:trPr>
        <w:tc>
          <w:tcPr>
            <w:tcW w:type="dxa" w:w="260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6"/>
              </w:rPr>
              <w:t>Support Area</w:t>
            </w:r>
          </w:p>
        </w:tc>
        <w:tc>
          <w:tcPr>
            <w:tcW w:type="dxa" w:w="6690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6"/>
              </w:rPr>
              <w:t>FSMS Framework</w:t>
            </w:r>
          </w:p>
        </w:tc>
      </w:tr>
      <w:tr>
        <w:trPr>
          <w:cantSplit/>
        </w:trPr>
        <w:tc>
          <w:tcPr>
            <w:tcW w:type="dxa" w:w="260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Resources / Infrastructure</w:t>
            </w:r>
          </w:p>
        </w:tc>
        <w:tc>
          <w:tcPr>
            <w:tcW w:type="dxa" w:w="6690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Provide suitable people, facilities, work environment, utilities, equipment, technology and specialist support.</w:t>
            </w:r>
          </w:p>
        </w:tc>
      </w:tr>
      <w:tr>
        <w:trPr>
          <w:cantSplit/>
        </w:trPr>
        <w:tc>
          <w:tcPr>
            <w:tcW w:type="dxa" w:w="260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Competence / Awareness</w:t>
            </w:r>
          </w:p>
        </w:tc>
        <w:tc>
          <w:tcPr>
            <w:tcW w:type="dxa" w:w="6690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Define competence for food-safety relevant roles and maintain training, supervision or qualification evidence.</w:t>
            </w:r>
          </w:p>
        </w:tc>
      </w:tr>
      <w:tr>
        <w:trPr>
          <w:cantSplit/>
        </w:trPr>
        <w:tc>
          <w:tcPr>
            <w:tcW w:type="dxa" w:w="260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Communication</w:t>
            </w:r>
          </w:p>
        </w:tc>
        <w:tc>
          <w:tcPr>
            <w:tcW w:type="dxa" w:w="6690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Define internal/external food-safety communication, escalation and authority for customers, suppliers and authorities as applicable.</w:t>
            </w:r>
          </w:p>
        </w:tc>
      </w:tr>
      <w:tr>
        <w:trPr>
          <w:cantSplit/>
        </w:trPr>
        <w:tc>
          <w:tcPr>
            <w:tcW w:type="dxa" w:w="260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Documented Information</w:t>
            </w:r>
          </w:p>
        </w:tc>
        <w:tc>
          <w:tcPr>
            <w:tcW w:type="dxa" w:w="6690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Approve, issue, change, protect, retrieve and retain FSMS documents/records using controlled processes.</w:t>
            </w:r>
          </w:p>
        </w:tc>
      </w:tr>
      <w:tr>
        <w:trPr>
          <w:cantSplit/>
        </w:trPr>
        <w:tc>
          <w:tcPr>
            <w:tcW w:type="dxa" w:w="260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Externally Developed Elements</w:t>
            </w:r>
          </w:p>
        </w:tc>
        <w:tc>
          <w:tcPr>
            <w:tcW w:type="dxa" w:w="6690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Evaluate and control externally developed FSMS elements so they are suitable for the organization's actual process and food-safety conditions.</w:t>
            </w:r>
          </w:p>
        </w:tc>
      </w:tr>
    </w:tbl>
    <w:p>
      <w:pPr>
        <w:pStyle w:val="Heading1"/>
        <w:keepNext/>
        <w:spacing w:before="120" w:after="60" w:line="252" w:lineRule="auto"/>
      </w:pPr>
      <w:r>
        <w:rPr>
          <w:rFonts w:ascii="Cambria" w:hAnsi="Cambria" w:eastAsia="Cambria"/>
          <w:b/>
          <w:color w:val="1F4E79"/>
          <w:sz w:val="24"/>
        </w:rPr>
        <w:t>8. Prerequisite Programmes (PRPs)</w:t>
      </w:r>
    </w:p>
    <w:p>
      <w:pPr>
        <w:spacing w:before="0" w:after="80" w:line="252" w:lineRule="auto"/>
      </w:pPr>
      <w:r>
        <w:rPr>
          <w:rFonts w:ascii="Cambria" w:hAnsi="Cambria" w:eastAsia="Cambria"/>
          <w:i w:val="0"/>
          <w:sz w:val="20"/>
        </w:rPr>
        <w:t>The organization establishes, implements, maintains and updates prerequisite programmes appropriate to its position in the food chain, products, processes and site environment. PRPs may address facility/layout, utilities, cleaning/sanitation, pest management, personnel hygiene, maintenance, waste, storage/transport, supplier/incoming controls, allergens/cross-contamination and other applicable foundational controls.</w:t>
      </w:r>
    </w:p>
    <w:tbl>
      <w:tblPr>
        <w:tblW w:type="auto" w:w="0"/>
        <w:jc w:val="center"/>
        <w:tblLayout w:type="autofit"/>
        <w:tblLook w:val="04A0"/>
      </w:tblPr>
      <w:tblGrid>
        <w:gridCol w:w="9355"/>
      </w:tblGrid>
      <w:tr>
        <w:trPr>
          <w:cantSplit/>
        </w:trPr>
        <w:tc>
          <w:tcPr>
            <w:tcW w:type="dxa" w:w="9355"/>
            <w:tcBorders>
              <w:top w:val="single" w:sz="3" w:space="0" w:color="E6D690"/>
              <w:left w:val="single" w:sz="3" w:space="0" w:color="E6D690"/>
              <w:bottom w:val="single" w:sz="3" w:space="0" w:color="E6D690"/>
              <w:right w:val="single" w:sz="3" w:space="0" w:color="E6D690"/>
              <w:insideH w:val="single" w:sz="3" w:space="0" w:color="E6D690"/>
              <w:insideV w:val="single" w:sz="3" w:space="0" w:color="E6D690"/>
            </w:tcBorders>
            <w:shd w:fill="FFF2CC" w:val="clear"/>
            <w:tcMar>
              <w:top w:w="70" w:type="dxa"/>
              <w:left w:w="90" w:type="dxa"/>
              <w:bottom w:w="70" w:type="dxa"/>
              <w:right w:w="90" w:type="dxa"/>
            </w:tcMar>
          </w:tcPr>
          <w:p>
            <w:pPr>
              <w:keepLines/>
              <w:spacing w:before="0" w:after="0" w:line="252" w:lineRule="auto"/>
            </w:pPr>
            <w:r>
              <w:rPr>
                <w:rFonts w:ascii="Cambria" w:hAnsi="Cambria" w:eastAsia="Cambria"/>
                <w:b/>
                <w:i/>
                <w:color w:val="C00000"/>
                <w:sz w:val="18"/>
              </w:rPr>
              <w:t xml:space="preserve">[Note] </w:t>
            </w:r>
            <w:r>
              <w:rPr>
                <w:rFonts w:ascii="Cambria" w:hAnsi="Cambria" w:eastAsia="Cambria"/>
                <w:i/>
                <w:color w:val="C00000"/>
                <w:sz w:val="18"/>
              </w:rPr>
              <w:t>PRP content is not universal. The organization must determine applicable PRPs from actual operations, hazards, legal/customer requirements and sector-specific guidance where relevant.</w:t>
            </w:r>
          </w:p>
        </w:tc>
      </w:tr>
    </w:tbl>
    <w:p>
      <w:pPr>
        <w:spacing w:after="20"/>
      </w:pPr>
    </w:p>
    <w:p>
      <w:pPr>
        <w:pStyle w:val="Heading1"/>
        <w:keepNext/>
        <w:spacing w:before="120" w:after="60" w:line="252" w:lineRule="auto"/>
      </w:pPr>
      <w:r>
        <w:rPr>
          <w:rFonts w:ascii="Cambria" w:hAnsi="Cambria" w:eastAsia="Cambria"/>
          <w:b/>
          <w:color w:val="1F4E79"/>
          <w:sz w:val="24"/>
        </w:rPr>
        <w:t>9. Operational Planning and Hazard Analysis Inputs</w:t>
      </w:r>
    </w:p>
    <w:p>
      <w:pPr>
        <w:spacing w:before="0" w:after="80" w:line="252" w:lineRule="auto"/>
      </w:pPr>
      <w:r>
        <w:rPr>
          <w:rFonts w:ascii="Cambria" w:hAnsi="Cambria" w:eastAsia="Cambria"/>
          <w:i w:val="0"/>
          <w:sz w:val="20"/>
        </w:rPr>
        <w:t>Before completing hazard analysis, the food safety team maintains adequate information about raw materials/ingredients/food-contact materials, end-product characteristics, intended use, process steps, process environment and verified flow diagrams. Material changes trigger review of relevant inputs.</w:t>
      </w:r>
    </w:p>
    <w:p>
      <w:pPr>
        <w:pStyle w:val="Heading1"/>
        <w:keepNext/>
        <w:spacing w:before="120" w:after="60" w:line="252" w:lineRule="auto"/>
      </w:pPr>
      <w:r>
        <w:rPr>
          <w:rFonts w:ascii="Cambria" w:hAnsi="Cambria" w:eastAsia="Cambria"/>
          <w:b/>
          <w:color w:val="1F4E79"/>
          <w:sz w:val="24"/>
        </w:rPr>
        <w:t>10. Hazard Analysis and Hazard Control</w:t>
      </w:r>
    </w:p>
    <w:tbl>
      <w:tblPr>
        <w:tblW w:type="auto" w:w="0"/>
        <w:jc w:val="center"/>
        <w:tblLayout w:type="fixed"/>
        <w:tblLook w:val="04A0"/>
      </w:tblPr>
      <w:tblGrid>
        <w:gridCol w:w="4677"/>
        <w:gridCol w:w="4677"/>
      </w:tblGrid>
      <w:tr>
        <w:trPr>
          <w:tblHeader w:val="true"/>
        </w:trPr>
        <w:tc>
          <w:tcPr>
            <w:tcW w:type="dxa" w:w="249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5"/>
              </w:rPr>
              <w:t>Hazard-Control Stage</w:t>
            </w:r>
          </w:p>
        </w:tc>
        <w:tc>
          <w:tcPr>
            <w:tcW w:type="dxa" w:w="6803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5"/>
              </w:rPr>
              <w:t>Management Requirement</w:t>
            </w:r>
          </w:p>
        </w:tc>
      </w:tr>
      <w:tr>
        <w:trPr>
          <w:cantSplit/>
        </w:trPr>
        <w:tc>
          <w:tcPr>
            <w:tcW w:type="dxa" w:w="249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Hazard Identification</w:t>
            </w:r>
          </w:p>
        </w:tc>
        <w:tc>
          <w:tcPr>
            <w:tcW w:type="dxa" w:w="6803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Identify reasonably expected biological, chemical, physical, allergen and other relevant food-safety hazards based on current product/process information.</w:t>
            </w:r>
          </w:p>
        </w:tc>
      </w:tr>
      <w:tr>
        <w:trPr>
          <w:cantSplit/>
        </w:trPr>
        <w:tc>
          <w:tcPr>
            <w:tcW w:type="dxa" w:w="249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Hazard Assessment</w:t>
            </w:r>
          </w:p>
        </w:tc>
        <w:tc>
          <w:tcPr>
            <w:tcW w:type="dxa" w:w="6803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Evaluate significance using approved criteria and available scientific, regulatory, customer and historical evidence.</w:t>
            </w:r>
          </w:p>
        </w:tc>
      </w:tr>
      <w:tr>
        <w:trPr>
          <w:cantSplit/>
        </w:trPr>
        <w:tc>
          <w:tcPr>
            <w:tcW w:type="dxa" w:w="249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Control Measure Selection</w:t>
            </w:r>
          </w:p>
        </w:tc>
        <w:tc>
          <w:tcPr>
            <w:tcW w:type="dxa" w:w="6803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Identify controls capable of preventing or reducing significant hazards to acceptable levels.</w:t>
            </w:r>
          </w:p>
        </w:tc>
      </w:tr>
      <w:tr>
        <w:trPr>
          <w:cantSplit/>
        </w:trPr>
        <w:tc>
          <w:tcPr>
            <w:tcW w:type="dxa" w:w="249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Categorization</w:t>
            </w:r>
          </w:p>
        </w:tc>
        <w:tc>
          <w:tcPr>
            <w:tcW w:type="dxa" w:w="6803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Categorize selected control measures using the organization's approved logic for PRP / OPRP / CCP or other permitted framework.</w:t>
            </w:r>
          </w:p>
        </w:tc>
      </w:tr>
      <w:tr>
        <w:trPr>
          <w:cantSplit/>
        </w:trPr>
        <w:tc>
          <w:tcPr>
            <w:tcW w:type="dxa" w:w="249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Criteria / Monitoring</w:t>
            </w:r>
          </w:p>
        </w:tc>
        <w:tc>
          <w:tcPr>
            <w:tcW w:type="dxa" w:w="6803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Define action criteria / critical limits or other approved criteria, monitoring method, frequency, responsibility and records.</w:t>
            </w:r>
          </w:p>
        </w:tc>
      </w:tr>
      <w:tr>
        <w:trPr>
          <w:cantSplit/>
        </w:trPr>
        <w:tc>
          <w:tcPr>
            <w:tcW w:type="dxa" w:w="249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Deviation Response</w:t>
            </w:r>
          </w:p>
        </w:tc>
        <w:tc>
          <w:tcPr>
            <w:tcW w:type="dxa" w:w="6803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Define correction, potentially unsafe product evaluation, disposition, escalation and corrective action.</w:t>
            </w:r>
          </w:p>
        </w:tc>
      </w:tr>
      <w:tr>
        <w:trPr>
          <w:cantSplit/>
        </w:trPr>
        <w:tc>
          <w:tcPr>
            <w:tcW w:type="dxa" w:w="249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Validation</w:t>
            </w:r>
          </w:p>
        </w:tc>
        <w:tc>
          <w:tcPr>
            <w:tcW w:type="dxa" w:w="6803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Validate control measures or combinations where required before operational reliance and after relevant changes.</w:t>
            </w:r>
          </w:p>
        </w:tc>
      </w:tr>
    </w:tbl>
    <w:tbl>
      <w:tblPr>
        <w:tblW w:type="auto" w:w="0"/>
        <w:jc w:val="center"/>
        <w:tblLayout w:type="autofit"/>
        <w:tblLook w:val="04A0"/>
      </w:tblPr>
      <w:tblGrid>
        <w:gridCol w:w="9355"/>
      </w:tblGrid>
      <w:tr>
        <w:trPr>
          <w:cantSplit/>
        </w:trPr>
        <w:tc>
          <w:tcPr>
            <w:tcW w:type="dxa" w:w="9355"/>
            <w:tcBorders>
              <w:top w:val="single" w:sz="3" w:space="0" w:color="E6D690"/>
              <w:left w:val="single" w:sz="3" w:space="0" w:color="E6D690"/>
              <w:bottom w:val="single" w:sz="3" w:space="0" w:color="E6D690"/>
              <w:right w:val="single" w:sz="3" w:space="0" w:color="E6D690"/>
              <w:insideH w:val="single" w:sz="3" w:space="0" w:color="E6D690"/>
              <w:insideV w:val="single" w:sz="3" w:space="0" w:color="E6D690"/>
            </w:tcBorders>
            <w:shd w:fill="FFF2CC" w:val="clear"/>
            <w:tcMar>
              <w:top w:w="70" w:type="dxa"/>
              <w:left w:w="90" w:type="dxa"/>
              <w:bottom w:w="70" w:type="dxa"/>
              <w:right w:w="90" w:type="dxa"/>
            </w:tcMar>
          </w:tcPr>
          <w:p>
            <w:pPr>
              <w:keepLines/>
              <w:spacing w:before="0" w:after="0" w:line="252" w:lineRule="auto"/>
            </w:pPr>
            <w:r>
              <w:rPr>
                <w:rFonts w:ascii="Cambria" w:hAnsi="Cambria" w:eastAsia="Cambria"/>
                <w:b/>
                <w:i/>
                <w:color w:val="C00000"/>
                <w:sz w:val="18"/>
              </w:rPr>
              <w:t xml:space="preserve">[Note] </w:t>
            </w:r>
            <w:r>
              <w:rPr>
                <w:rFonts w:ascii="Cambria" w:hAnsi="Cambria" w:eastAsia="Cambria"/>
                <w:i/>
                <w:color w:val="C00000"/>
                <w:sz w:val="18"/>
              </w:rPr>
              <w:t>Do not copy generic critical limits or action criteria into the operational hazard-control plan. Values and decision criteria must be supported by approved product/process-specific validation, legal/customer requirements or other authoritative evidence.</w:t>
            </w:r>
          </w:p>
        </w:tc>
      </w:tr>
    </w:tbl>
    <w:p>
      <w:pPr>
        <w:spacing w:after="20"/>
      </w:pPr>
    </w:p>
    <w:p>
      <w:pPr>
        <w:pStyle w:val="Heading1"/>
        <w:keepNext/>
        <w:spacing w:before="120" w:after="60" w:line="252" w:lineRule="auto"/>
      </w:pPr>
      <w:r>
        <w:rPr>
          <w:rFonts w:ascii="Cambria" w:hAnsi="Cambria" w:eastAsia="Cambria"/>
          <w:b/>
          <w:color w:val="1F4E79"/>
          <w:sz w:val="24"/>
        </w:rPr>
        <w:t>11. Traceability, Emergency Response and Withdrawal / Recall</w:t>
      </w:r>
    </w:p>
    <w:p>
      <w:pPr>
        <w:pStyle w:val="ListBullet"/>
        <w:spacing w:before="0" w:after="50" w:line="252" w:lineRule="auto"/>
      </w:pPr>
      <w:r>
        <w:rPr>
          <w:rFonts w:ascii="Cambria" w:hAnsi="Cambria" w:eastAsia="Cambria"/>
          <w:sz w:val="20"/>
        </w:rPr>
        <w:t>Maintain traceability sufficient to identify relevant inputs, processing linkages and distribution outputs for the defined scope.</w:t>
      </w:r>
    </w:p>
    <w:p>
      <w:pPr>
        <w:pStyle w:val="ListBullet"/>
        <w:spacing w:before="0" w:after="50" w:line="252" w:lineRule="auto"/>
      </w:pPr>
      <w:r>
        <w:rPr>
          <w:rFonts w:ascii="Cambria" w:hAnsi="Cambria" w:eastAsia="Cambria"/>
          <w:sz w:val="20"/>
        </w:rPr>
        <w:t>Test traceability and evaluate timing, reconciliation, missing data and corrective actions.</w:t>
      </w:r>
    </w:p>
    <w:p>
      <w:pPr>
        <w:pStyle w:val="ListBullet"/>
        <w:spacing w:before="0" w:after="50" w:line="252" w:lineRule="auto"/>
      </w:pPr>
      <w:r>
        <w:rPr>
          <w:rFonts w:ascii="Cambria" w:hAnsi="Cambria" w:eastAsia="Cambria"/>
          <w:sz w:val="20"/>
        </w:rPr>
        <w:t>Maintain food-safety emergency-response arrangements for credible scenarios such as utility failure, contamination threat, facility disruption or supply-chain event.</w:t>
      </w:r>
    </w:p>
    <w:p>
      <w:pPr>
        <w:pStyle w:val="ListBullet"/>
        <w:spacing w:before="0" w:after="50" w:line="252" w:lineRule="auto"/>
      </w:pPr>
      <w:r>
        <w:rPr>
          <w:rFonts w:ascii="Cambria" w:hAnsi="Cambria" w:eastAsia="Cambria"/>
          <w:sz w:val="20"/>
        </w:rPr>
        <w:t>Maintain withdrawal/recall decision roles, communications, affected-product identification and test/exercise arrangements.</w:t>
      </w:r>
    </w:p>
    <w:p>
      <w:pPr>
        <w:pStyle w:val="Heading1"/>
        <w:keepNext/>
        <w:spacing w:before="120" w:after="60" w:line="252" w:lineRule="auto"/>
      </w:pPr>
      <w:r>
        <w:rPr>
          <w:rFonts w:ascii="Cambria" w:hAnsi="Cambria" w:eastAsia="Cambria"/>
          <w:b/>
          <w:color w:val="1F4E79"/>
          <w:sz w:val="24"/>
        </w:rPr>
        <w:t>12. Control of Potentially Unsafe Product</w:t>
      </w:r>
    </w:p>
    <w:p>
      <w:pPr>
        <w:spacing w:before="0" w:after="80" w:line="252" w:lineRule="auto"/>
      </w:pPr>
      <w:r>
        <w:rPr>
          <w:rFonts w:ascii="Cambria" w:hAnsi="Cambria" w:eastAsia="Cambria"/>
          <w:i w:val="0"/>
          <w:sz w:val="20"/>
        </w:rPr>
        <w:t>When monitoring, verification or other information indicates possible loss of food-safety control, affected product is identified and controlled to prevent unintended release. Evaluation, disposition and release decisions are made by authorized roles using approved criteria and documented evidence.</w:t>
      </w:r>
    </w:p>
    <w:p>
      <w:pPr>
        <w:pStyle w:val="Heading1"/>
        <w:keepNext/>
        <w:spacing w:before="120" w:after="60" w:line="252" w:lineRule="auto"/>
      </w:pPr>
      <w:r>
        <w:rPr>
          <w:rFonts w:ascii="Cambria" w:hAnsi="Cambria" w:eastAsia="Cambria"/>
          <w:b/>
          <w:color w:val="1F4E79"/>
          <w:sz w:val="24"/>
        </w:rPr>
        <w:t>13. Verification and FSMS Updating</w:t>
      </w:r>
    </w:p>
    <w:p>
      <w:pPr>
        <w:spacing w:before="0" w:after="80" w:line="252" w:lineRule="auto"/>
      </w:pPr>
      <w:r>
        <w:rPr>
          <w:rFonts w:ascii="Cambria" w:hAnsi="Cambria" w:eastAsia="Cambria"/>
          <w:i w:val="0"/>
          <w:sz w:val="20"/>
        </w:rPr>
        <w:t>Verification activities are planned to confirm PRPs, hazard-control monitoring, corrective actions, measurement resources and other FSMS controls are implemented and effective as intended. Results are analyzed and used to update product/process information, hazard analysis, PRPs and control plans when new information, changes or performance evidence requires it.</w:t>
      </w:r>
    </w:p>
    <w:p>
      <w:pPr>
        <w:pStyle w:val="Heading1"/>
        <w:keepNext/>
        <w:spacing w:before="120" w:after="60" w:line="252" w:lineRule="auto"/>
      </w:pPr>
      <w:r>
        <w:rPr>
          <w:rFonts w:ascii="Cambria" w:hAnsi="Cambria" w:eastAsia="Cambria"/>
          <w:b/>
          <w:color w:val="1F4E79"/>
          <w:sz w:val="24"/>
        </w:rPr>
        <w:t>14. Performance Evaluation</w:t>
      </w:r>
    </w:p>
    <w:tbl>
      <w:tblPr>
        <w:tblW w:type="auto" w:w="0"/>
        <w:jc w:val="center"/>
        <w:tblLayout w:type="fixed"/>
        <w:tblLook w:val="04A0"/>
      </w:tblPr>
      <w:tblGrid>
        <w:gridCol w:w="4677"/>
        <w:gridCol w:w="4677"/>
      </w:tblGrid>
      <w:tr>
        <w:trPr>
          <w:tblHeader w:val="true"/>
        </w:trPr>
        <w:tc>
          <w:tcPr>
            <w:tcW w:type="dxa" w:w="2665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6"/>
              </w:rPr>
              <w:t>Performance Input</w:t>
            </w:r>
          </w:p>
        </w:tc>
        <w:tc>
          <w:tcPr>
            <w:tcW w:type="dxa" w:w="6633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6"/>
              </w:rPr>
              <w:t>Examples of Evidence</w:t>
            </w:r>
          </w:p>
        </w:tc>
      </w:tr>
      <w:tr>
        <w:trPr>
          <w:cantSplit/>
        </w:trPr>
        <w:tc>
          <w:tcPr>
            <w:tcW w:type="dxa" w:w="2665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Food-safety objectives / indicators</w:t>
            </w:r>
          </w:p>
        </w:tc>
        <w:tc>
          <w:tcPr>
            <w:tcW w:type="dxa" w:w="6633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Objective status, complaint/incident trends, verification status, supplier performance, training or control indicators.</w:t>
            </w:r>
          </w:p>
        </w:tc>
      </w:tr>
      <w:tr>
        <w:trPr>
          <w:cantSplit/>
        </w:trPr>
        <w:tc>
          <w:tcPr>
            <w:tcW w:type="dxa" w:w="2665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Monitoring / Measurement</w:t>
            </w:r>
          </w:p>
        </w:tc>
        <w:tc>
          <w:tcPr>
            <w:tcW w:type="dxa" w:w="6633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PRP results, OPRP/CCP monitoring, environmental/utility data, calibration/verification results as applicable.</w:t>
            </w:r>
          </w:p>
        </w:tc>
      </w:tr>
      <w:tr>
        <w:trPr>
          <w:cantSplit/>
        </w:trPr>
        <w:tc>
          <w:tcPr>
            <w:tcW w:type="dxa" w:w="2665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Verification</w:t>
            </w:r>
          </w:p>
        </w:tc>
        <w:tc>
          <w:tcPr>
            <w:tcW w:type="dxa" w:w="6633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PRP inspections, record reviews, sampling/testing where applicable, traceability tests, recall/emergency exercises.</w:t>
            </w:r>
          </w:p>
        </w:tc>
      </w:tr>
      <w:tr>
        <w:trPr>
          <w:cantSplit/>
        </w:trPr>
        <w:tc>
          <w:tcPr>
            <w:tcW w:type="dxa" w:w="2665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Internal Audit</w:t>
            </w:r>
          </w:p>
        </w:tc>
        <w:tc>
          <w:tcPr>
            <w:tcW w:type="dxa" w:w="6633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Risk-based independent assessment of FSMS implementation and effectiveness.</w:t>
            </w:r>
          </w:p>
        </w:tc>
      </w:tr>
      <w:tr>
        <w:trPr>
          <w:cantSplit/>
        </w:trPr>
        <w:tc>
          <w:tcPr>
            <w:tcW w:type="dxa" w:w="2665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Management Review</w:t>
            </w:r>
          </w:p>
        </w:tc>
        <w:tc>
          <w:tcPr>
            <w:tcW w:type="dxa" w:w="6633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Top-management decisions on changes, performance, resources, risks/opportunities, actions and improvement.</w:t>
            </w:r>
          </w:p>
        </w:tc>
      </w:tr>
    </w:tbl>
    <w:p>
      <w:pPr>
        <w:pStyle w:val="Heading1"/>
        <w:keepNext/>
        <w:spacing w:before="120" w:after="60" w:line="252" w:lineRule="auto"/>
      </w:pPr>
      <w:r>
        <w:rPr>
          <w:rFonts w:ascii="Cambria" w:hAnsi="Cambria" w:eastAsia="Cambria"/>
          <w:b/>
          <w:color w:val="1F4E79"/>
          <w:sz w:val="24"/>
        </w:rPr>
        <w:t>15. Internal Audit and Management Review</w:t>
      </w:r>
    </w:p>
    <w:p>
      <w:pPr>
        <w:spacing w:before="0" w:after="80" w:line="252" w:lineRule="auto"/>
      </w:pPr>
      <w:r>
        <w:rPr>
          <w:rFonts w:ascii="Cambria" w:hAnsi="Cambria" w:eastAsia="Cambria"/>
          <w:i w:val="0"/>
          <w:sz w:val="20"/>
        </w:rPr>
        <w:t>Internal audits provide objective, risk-based assurance on FSMS processes and operating controls. Top management periodically reviews FSMS suitability, adequacy and effectiveness using relevant changes, objectives, performance, verification, incidents/complaints, suppliers, audit results, resources and improvement opportunities.</w:t>
      </w:r>
    </w:p>
    <w:p>
      <w:pPr>
        <w:pStyle w:val="Heading1"/>
        <w:keepNext/>
        <w:spacing w:before="120" w:after="60" w:line="252" w:lineRule="auto"/>
      </w:pPr>
      <w:r>
        <w:rPr>
          <w:rFonts w:ascii="Cambria" w:hAnsi="Cambria" w:eastAsia="Cambria"/>
          <w:b/>
          <w:color w:val="1F4E79"/>
          <w:sz w:val="24"/>
        </w:rPr>
        <w:t>16. Nonconformity, Corrective Action and Continual Improvement</w:t>
      </w:r>
    </w:p>
    <w:p>
      <w:pPr>
        <w:spacing w:before="0" w:after="80" w:line="252" w:lineRule="auto"/>
      </w:pPr>
      <w:r>
        <w:rPr>
          <w:rFonts w:ascii="Cambria" w:hAnsi="Cambria" w:eastAsia="Cambria"/>
          <w:i w:val="0"/>
          <w:sz w:val="20"/>
        </w:rPr>
        <w:t>Nonconformities are corrected, consequences are addressed, causes are evaluated where proportionate, and actions are verified for implementation/effectiveness. Improvement is driven through verification trends, incidents, complaints, audits, supplier issues, traceability/recall exercises, hazard-control updates and management decisions.</w:t>
      </w:r>
    </w:p>
    <w:p>
      <w:pPr>
        <w:pStyle w:val="Heading1"/>
        <w:keepNext/>
        <w:spacing w:before="120" w:after="60" w:line="252" w:lineRule="auto"/>
      </w:pPr>
      <w:r>
        <w:rPr>
          <w:rFonts w:ascii="Cambria" w:hAnsi="Cambria" w:eastAsia="Cambria"/>
          <w:b/>
          <w:color w:val="1F4E79"/>
          <w:sz w:val="24"/>
        </w:rPr>
        <w:t>17. Illustrative FSMS Operating Examples</w:t>
      </w:r>
    </w:p>
    <w:tbl>
      <w:tblPr>
        <w:tblW w:type="auto" w:w="0"/>
        <w:jc w:val="center"/>
        <w:tblLayout w:type="fixed"/>
        <w:tblLook w:val="04A0"/>
      </w:tblPr>
      <w:tblGrid>
        <w:gridCol w:w="2339"/>
        <w:gridCol w:w="2339"/>
        <w:gridCol w:w="2339"/>
        <w:gridCol w:w="2339"/>
      </w:tblGrid>
      <w:tr>
        <w:trPr>
          <w:tblHeader w:val="true"/>
        </w:trPr>
        <w:tc>
          <w:tcPr>
            <w:tcW w:type="dxa" w:w="113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5"/>
              </w:rPr>
              <w:t>Data Type</w:t>
            </w:r>
          </w:p>
        </w:tc>
        <w:tc>
          <w:tcPr>
            <w:tcW w:type="dxa" w:w="192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5"/>
              </w:rPr>
              <w:t>Process</w:t>
            </w:r>
          </w:p>
        </w:tc>
        <w:tc>
          <w:tcPr>
            <w:tcW w:type="dxa" w:w="323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5"/>
              </w:rPr>
              <w:t>Illustrative Situation</w:t>
            </w:r>
          </w:p>
        </w:tc>
        <w:tc>
          <w:tcPr>
            <w:tcW w:type="dxa" w:w="306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5"/>
              </w:rPr>
              <w:t>FSMS Response</w:t>
            </w:r>
          </w:p>
        </w:tc>
      </w:tr>
      <w:tr>
        <w:trPr>
          <w:cantSplit/>
        </w:trPr>
        <w:tc>
          <w:tcPr>
            <w:tcW w:type="dxa" w:w="113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Illustrative Data</w:t>
            </w:r>
          </w:p>
        </w:tc>
        <w:tc>
          <w:tcPr>
            <w:tcW w:type="dxa" w:w="192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PRP Verification</w:t>
            </w:r>
          </w:p>
        </w:tc>
        <w:tc>
          <w:tcPr>
            <w:tcW w:type="dxa" w:w="323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Monthly hygiene verification identifies a repeat drain-cleaning weakness in one zone.</w:t>
            </w:r>
          </w:p>
        </w:tc>
        <w:tc>
          <w:tcPr>
            <w:tcW w:type="dxa" w:w="306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Trend is escalated to sanitation CAPA and effectiveness check.</w:t>
            </w:r>
          </w:p>
        </w:tc>
      </w:tr>
      <w:tr>
        <w:trPr>
          <w:cantSplit/>
        </w:trPr>
        <w:tc>
          <w:tcPr>
            <w:tcW w:type="dxa" w:w="113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Illustrative Data</w:t>
            </w:r>
          </w:p>
        </w:tc>
        <w:tc>
          <w:tcPr>
            <w:tcW w:type="dxa" w:w="192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Hazard Control</w:t>
            </w:r>
          </w:p>
        </w:tc>
        <w:tc>
          <w:tcPr>
            <w:tcW w:type="dxa" w:w="323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A validated thermal CCP is monitored per batch using a verified sensor.</w:t>
            </w:r>
          </w:p>
        </w:tc>
        <w:tc>
          <w:tcPr>
            <w:tcW w:type="dxa" w:w="306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A deviation triggers product hold, evaluation and corrective action.</w:t>
            </w:r>
          </w:p>
        </w:tc>
      </w:tr>
      <w:tr>
        <w:trPr>
          <w:cantSplit/>
        </w:trPr>
        <w:tc>
          <w:tcPr>
            <w:tcW w:type="dxa" w:w="113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Illustrative Data</w:t>
            </w:r>
          </w:p>
        </w:tc>
        <w:tc>
          <w:tcPr>
            <w:tcW w:type="dxa" w:w="192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Traceability</w:t>
            </w:r>
          </w:p>
        </w:tc>
        <w:tc>
          <w:tcPr>
            <w:tcW w:type="dxa" w:w="323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A timed mock trace achieves complete reconciliation but misses the internal time target.</w:t>
            </w:r>
          </w:p>
        </w:tc>
        <w:tc>
          <w:tcPr>
            <w:tcW w:type="dxa" w:w="306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Data retrieval is improved and the exercise is repeated.</w:t>
            </w:r>
          </w:p>
        </w:tc>
      </w:tr>
      <w:tr>
        <w:trPr>
          <w:cantSplit/>
        </w:trPr>
        <w:tc>
          <w:tcPr>
            <w:tcW w:type="dxa" w:w="113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Illustrative Data</w:t>
            </w:r>
          </w:p>
        </w:tc>
        <w:tc>
          <w:tcPr>
            <w:tcW w:type="dxa" w:w="192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Supplier Control</w:t>
            </w:r>
          </w:p>
        </w:tc>
        <w:tc>
          <w:tcPr>
            <w:tcW w:type="dxa" w:w="323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A high-risk ingredient supplier introduces a formulation change.</w:t>
            </w:r>
          </w:p>
        </w:tc>
        <w:tc>
          <w:tcPr>
            <w:tcW w:type="dxa" w:w="306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Specification/allergen review is completed before acceptance.</w:t>
            </w:r>
          </w:p>
        </w:tc>
      </w:tr>
      <w:tr>
        <w:trPr>
          <w:cantSplit/>
        </w:trPr>
        <w:tc>
          <w:tcPr>
            <w:tcW w:type="dxa" w:w="113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Illustrative Data</w:t>
            </w:r>
          </w:p>
        </w:tc>
        <w:tc>
          <w:tcPr>
            <w:tcW w:type="dxa" w:w="192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Emergency Response</w:t>
            </w:r>
          </w:p>
        </w:tc>
        <w:tc>
          <w:tcPr>
            <w:tcW w:type="dxa" w:w="323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A refrigeration outage affects chilled storage.</w:t>
            </w:r>
          </w:p>
        </w:tc>
        <w:tc>
          <w:tcPr>
            <w:tcW w:type="dxa" w:w="306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Emergency plan is activated; product exposure is assessed before disposition.</w:t>
            </w:r>
          </w:p>
        </w:tc>
      </w:tr>
    </w:tbl>
    <w:p>
      <w:pPr>
        <w:pStyle w:val="Heading1"/>
        <w:keepNext/>
        <w:spacing w:before="120" w:after="60" w:line="252" w:lineRule="auto"/>
      </w:pPr>
      <w:r>
        <w:rPr>
          <w:rFonts w:ascii="Cambria" w:hAnsi="Cambria" w:eastAsia="Cambria"/>
          <w:b/>
          <w:color w:val="1F4E79"/>
          <w:sz w:val="24"/>
        </w:rPr>
        <w:t>18. FSMS Document Architecture</w:t>
      </w:r>
    </w:p>
    <w:tbl>
      <w:tblPr>
        <w:tblW w:type="auto" w:w="0"/>
        <w:jc w:val="center"/>
        <w:tblLayout w:type="fixed"/>
        <w:tblLook w:val="04A0"/>
      </w:tblPr>
      <w:tblGrid>
        <w:gridCol w:w="4677"/>
        <w:gridCol w:w="4677"/>
      </w:tblGrid>
      <w:tr>
        <w:trPr>
          <w:tblHeader w:val="true"/>
        </w:trPr>
        <w:tc>
          <w:tcPr>
            <w:tcW w:type="dxa" w:w="255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6"/>
              </w:rPr>
              <w:t>Document Layer</w:t>
            </w:r>
          </w:p>
        </w:tc>
        <w:tc>
          <w:tcPr>
            <w:tcW w:type="dxa" w:w="6746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6"/>
              </w:rPr>
              <w:t>Typical Controlled Information</w:t>
            </w:r>
          </w:p>
        </w:tc>
      </w:tr>
      <w:tr>
        <w:trPr>
          <w:cantSplit/>
        </w:trPr>
        <w:tc>
          <w:tcPr>
            <w:tcW w:type="dxa" w:w="255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Governance</w:t>
            </w:r>
          </w:p>
        </w:tc>
        <w:tc>
          <w:tcPr>
            <w:tcW w:type="dxa" w:w="6746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FSMS scope, food-safety policy, manual, objectives, roles and context/requirements records.</w:t>
            </w:r>
          </w:p>
        </w:tc>
      </w:tr>
      <w:tr>
        <w:trPr>
          <w:cantSplit/>
        </w:trPr>
        <w:tc>
          <w:tcPr>
            <w:tcW w:type="dxa" w:w="255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Operational Controls</w:t>
            </w:r>
          </w:p>
        </w:tc>
        <w:tc>
          <w:tcPr>
            <w:tcW w:type="dxa" w:w="6746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PRP procedures, process/product information, hazard analysis, hazard-control plan, traceability, emergency/recall, unsafe-product controls.</w:t>
            </w:r>
          </w:p>
        </w:tc>
      </w:tr>
      <w:tr>
        <w:trPr>
          <w:cantSplit/>
        </w:trPr>
        <w:tc>
          <w:tcPr>
            <w:tcW w:type="dxa" w:w="255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Monitoring &amp; Assurance</w:t>
            </w:r>
          </w:p>
        </w:tc>
        <w:tc>
          <w:tcPr>
            <w:tcW w:type="dxa" w:w="6746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Verification plan/results, KPI records, internal audit, supplier evaluation, management review and corrective actions.</w:t>
            </w:r>
          </w:p>
        </w:tc>
      </w:tr>
      <w:tr>
        <w:trPr>
          <w:cantSplit/>
        </w:trPr>
        <w:tc>
          <w:tcPr>
            <w:tcW w:type="dxa" w:w="255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Records / Evidence</w:t>
            </w:r>
          </w:p>
        </w:tc>
        <w:tc>
          <w:tcPr>
            <w:tcW w:type="dxa" w:w="6746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Monitoring records, cleaning/pest/maintenance records, temperature/control logs, traceability, holds/releases, training, audits and actions.</w:t>
            </w:r>
          </w:p>
        </w:tc>
      </w:tr>
    </w:tbl>
    <w:p>
      <w:pPr>
        <w:pStyle w:val="Heading1"/>
        <w:keepNext/>
        <w:spacing w:before="120" w:after="60" w:line="252" w:lineRule="auto"/>
      </w:pPr>
      <w:r>
        <w:rPr>
          <w:rFonts w:ascii="Cambria" w:hAnsi="Cambria" w:eastAsia="Cambria"/>
          <w:b/>
          <w:color w:val="1F4E79"/>
          <w:sz w:val="24"/>
        </w:rPr>
        <w:t>References and Related Sources</w:t>
      </w:r>
    </w:p>
    <w:p>
      <w:pPr>
        <w:pStyle w:val="ListBullet"/>
        <w:spacing w:before="0" w:after="50" w:line="252" w:lineRule="auto"/>
      </w:pPr>
      <w:r>
        <w:rPr>
          <w:rFonts w:ascii="Cambria" w:hAnsi="Cambria" w:eastAsia="Cambria"/>
          <w:sz w:val="20"/>
        </w:rPr>
        <w:t>ISO 22000:2018 - published FSMS requirements: https://www.iso.org/standard/65464.html</w:t>
      </w:r>
    </w:p>
    <w:p>
      <w:pPr>
        <w:pStyle w:val="ListBullet"/>
        <w:spacing w:before="0" w:after="50" w:line="252" w:lineRule="auto"/>
      </w:pPr>
      <w:r>
        <w:rPr>
          <w:rFonts w:ascii="Cambria" w:hAnsi="Cambria" w:eastAsia="Cambria"/>
          <w:sz w:val="20"/>
        </w:rPr>
        <w:t>ISO 22000:2018/Amd 1:2024 - climate-action amendment: https://www.iso.org/standard/88410.html</w:t>
      </w:r>
    </w:p>
    <w:p>
      <w:pPr>
        <w:pStyle w:val="ListBullet"/>
        <w:spacing w:before="0" w:after="50" w:line="252" w:lineRule="auto"/>
      </w:pPr>
      <w:r>
        <w:rPr>
          <w:rFonts w:ascii="Cambria" w:hAnsi="Cambria" w:eastAsia="Cambria"/>
          <w:sz w:val="20"/>
        </w:rPr>
        <w:t>ISO/DIS 22000 - revision under development; not the controlled baseline: https://www.iso.org/standard/88794.html</w:t>
      </w:r>
    </w:p>
    <w:p>
      <w:pPr>
        <w:pStyle w:val="ListBullet"/>
        <w:spacing w:before="0" w:after="50" w:line="252" w:lineRule="auto"/>
      </w:pPr>
      <w:r>
        <w:rPr>
          <w:rFonts w:ascii="Cambria" w:hAnsi="Cambria" w:eastAsia="Cambria"/>
          <w:sz w:val="20"/>
        </w:rPr>
        <w:t>Organization FSMS information - [INTERNAL SOURCE / REPOSITORY].</w:t>
      </w:r>
    </w:p>
    <w:p>
      <w:pPr>
        <w:pStyle w:val="Heading1"/>
        <w:keepNext/>
        <w:spacing w:before="120" w:after="60" w:line="252" w:lineRule="auto"/>
      </w:pPr>
      <w:r>
        <w:rPr>
          <w:rFonts w:ascii="Cambria" w:hAnsi="Cambria" w:eastAsia="Cambria"/>
          <w:b/>
          <w:color w:val="1F4E79"/>
          <w:sz w:val="24"/>
        </w:rPr>
        <w:t>Revision and Approval</w:t>
      </w:r>
    </w:p>
    <w:tbl>
      <w:tblPr>
        <w:tblW w:type="auto" w:w="0"/>
        <w:jc w:val="center"/>
        <w:tblLayout w:type="fixed"/>
        <w:tblLook w:val="04A0"/>
      </w:tblPr>
      <w:tblGrid>
        <w:gridCol w:w="1871"/>
        <w:gridCol w:w="1871"/>
        <w:gridCol w:w="1871"/>
        <w:gridCol w:w="1871"/>
        <w:gridCol w:w="1871"/>
      </w:tblGrid>
      <w:tr>
        <w:trPr>
          <w:tblHeader w:val="true"/>
        </w:trPr>
        <w:tc>
          <w:tcPr>
            <w:tcW w:type="dxa" w:w="1020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7"/>
              </w:rPr>
              <w:t>Version</w:t>
            </w:r>
          </w:p>
        </w:tc>
        <w:tc>
          <w:tcPr>
            <w:tcW w:type="dxa" w:w="141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7"/>
              </w:rPr>
              <w:t>Date</w:t>
            </w:r>
          </w:p>
        </w:tc>
        <w:tc>
          <w:tcPr>
            <w:tcW w:type="dxa" w:w="249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7"/>
              </w:rPr>
              <w:t>Change</w:t>
            </w:r>
          </w:p>
        </w:tc>
        <w:tc>
          <w:tcPr>
            <w:tcW w:type="dxa" w:w="226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7"/>
              </w:rPr>
              <w:t>Document Owner</w:t>
            </w:r>
          </w:p>
        </w:tc>
        <w:tc>
          <w:tcPr>
            <w:tcW w:type="dxa" w:w="215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7"/>
              </w:rPr>
              <w:t>Approver</w:t>
            </w:r>
          </w:p>
        </w:tc>
      </w:tr>
      <w:tr>
        <w:trPr>
          <w:cantSplit/>
        </w:trPr>
        <w:tc>
          <w:tcPr>
            <w:tcW w:type="dxa" w:w="1020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7"/>
              </w:rPr>
              <w:t>1.0</w:t>
            </w:r>
          </w:p>
        </w:tc>
        <w:tc>
          <w:tcPr>
            <w:tcW w:type="dxa" w:w="141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7"/>
              </w:rPr>
              <w:t>2026-09-18</w:t>
            </w:r>
          </w:p>
        </w:tc>
        <w:tc>
          <w:tcPr>
            <w:tcW w:type="dxa" w:w="249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7"/>
              </w:rPr>
              <w:t>Initial issue</w:t>
            </w:r>
          </w:p>
        </w:tc>
        <w:tc>
          <w:tcPr>
            <w:tcW w:type="dxa" w:w="226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7"/>
              </w:rPr>
              <w:t>Food Safety Team Leader</w:t>
            </w:r>
          </w:p>
        </w:tc>
        <w:tc>
          <w:tcPr>
            <w:tcW w:type="dxa" w:w="215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7"/>
              </w:rPr>
              <w:t>Top Management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1134" w:right="1134" w:bottom="1134" w:left="1417" w:header="397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="http://schemas.openxmlformats.org/wordprocessingml/2006/main" xmlns:wne="http://schemas.microsoft.com/office/word/2006/wordml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>
  <w:p>
    <w:pPr>
      <w:pStyle w:val="Footer"/>
      <w:spacing w:after="20"/>
      <w:jc w:val="center"/>
    </w:pPr>
    <w:r/>
    <w:r>
      <w:rPr>
        <w:rFonts w:ascii="Cambria" w:hAnsi="Cambria" w:eastAsia="Cambria"/>
        <w:color w:val="666666"/>
        <w:sz w:val="16"/>
      </w:rPr>
      <w:t>Copyright © ISO Toolkits | www.iso-toolkits.org | info@iso-toolkits.org</w:t>
    </w:r>
  </w:p>
  <w:p>
    <w:pPr>
      <w:spacing w:after="0"/>
      <w:jc w:val="center"/>
    </w:pPr>
    <w:r>
      <w:rPr>
        <w:rFonts w:ascii="Cambria" w:hAnsi="Cambria" w:eastAsia="Cambria"/>
        <w:color w:val="666666"/>
        <w:sz w:val="16"/>
      </w:rPr>
      <w:t xml:space="preserve">CONTROLLED DOCUMENT | INTERNAL | Page </w:t>
    </w:r>
    <w:r>
      <w:rPr>
        <w:rFonts w:ascii="Cambria" w:hAnsi="Cambria" w:eastAsia="Cambria"/>
        <w:color w:val="666666"/>
        <w:sz w:val="16"/>
      </w:rPr>
      <w:fldChar w:fldCharType="begin"/>
      <w:instrText xml:space="preserve"> PAGE </w:instrText>
      <w:fldChar w:fldCharType="end"/>
    </w:r>
    <w:r>
      <w:rPr>
        <w:rFonts w:ascii="Cambria" w:hAnsi="Cambria" w:eastAsia="Cambria"/>
        <w:color w:val="666666"/>
        <w:sz w:val="16"/>
      </w:rPr>
      <w:t xml:space="preserve"> of </w:t>
    </w:r>
    <w:r>
      <w:rPr>
        <w:rFonts w:ascii="Cambria" w:hAnsi="Cambria" w:eastAsia="Cambria"/>
        <w:color w:val="666666"/>
        <w:sz w:val="16"/>
      </w:rPr>
      <w:fldChar w:fldCharType="begin"/>
      <w:instrText xml:space="preserve"> NUMPAGES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="http://schemas.openxmlformats.org/wordprocessingml/2006/main" xmlns:wne="http://schemas.microsoft.com/office/word/2006/wordml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>
  <w:p>
    <w:pPr>
      <w:pStyle w:val="Header"/>
      <w:spacing w:after="0"/>
    </w:pPr>
    <w:r/>
  </w:p>
  <w:tbl>
    <w:tblPr>
      <w:tblW w:type="auto" w:w="0"/>
      <w:jc w:val="center"/>
      <w:tblLayout w:type="fixed"/>
      <w:tblLook w:val="04A0"/>
    </w:tblPr>
    <w:tblGrid>
      <w:gridCol w:w="3118"/>
      <w:gridCol w:w="3118"/>
      <w:gridCol w:w="3118"/>
    </w:tblGrid>
    <w:tr>
      <w:tc>
        <w:tcPr>
          <w:tcW w:type="dxa" w:w="1814"/>
          <w:tcMar>
            <w:top w:w="20" w:type="dxa"/>
            <w:left w:w="40" w:type="dxa"/>
            <w:bottom w:w="20" w:type="dxa"/>
            <w:right w:w="40" w:type="dxa"/>
          </w:tcMar>
        </w:tcPr>
        <w:p>
          <w:pPr>
            <w:jc w:val="center"/>
          </w:pPr>
          <w:r>
            <w:rPr>
              <w:rFonts w:ascii="Cambria" w:hAnsi="Cambria" w:eastAsia="Cambria"/>
              <w:color w:val="666666"/>
              <w:sz w:val="16"/>
            </w:rPr>
            <w:t>ORGANIZATION</w:t>
            <w:br/>
            <w:t>LOGO</w:t>
          </w:r>
        </w:p>
      </w:tc>
      <w:tc>
        <w:tcPr>
          <w:tcW w:type="dxa" w:w="5216"/>
          <w:tcMar>
            <w:top w:w="20" w:type="dxa"/>
            <w:left w:w="40" w:type="dxa"/>
            <w:bottom w:w="20" w:type="dxa"/>
            <w:right w:w="40" w:type="dxa"/>
          </w:tcMar>
        </w:tcPr>
        <w:p>
          <w:pPr>
            <w:jc w:val="center"/>
          </w:pPr>
          <w:r>
            <w:rPr>
              <w:rFonts w:ascii="Cambria" w:hAnsi="Cambria" w:eastAsia="Cambria"/>
              <w:color w:val="666666"/>
              <w:sz w:val="16"/>
            </w:rPr>
            <w:t>[ORGANIZATION NAME]</w:t>
            <w:br/>
          </w:r>
          <w:r>
            <w:rPr>
              <w:rFonts w:ascii="Cambria" w:hAnsi="Cambria" w:eastAsia="Cambria"/>
              <w:b/>
              <w:color w:val="1F4E79"/>
              <w:sz w:val="18"/>
            </w:rPr>
            <w:t>Food Safety Management Manual</w:t>
          </w:r>
        </w:p>
      </w:tc>
      <w:tc>
        <w:tcPr>
          <w:tcW w:type="dxa" w:w="2324"/>
          <w:tcMar>
            <w:top w:w="20" w:type="dxa"/>
            <w:left w:w="40" w:type="dxa"/>
            <w:bottom w:w="20" w:type="dxa"/>
            <w:right w:w="40" w:type="dxa"/>
          </w:tcMar>
        </w:tcPr>
        <w:p>
          <w:pPr>
            <w:jc w:val="right"/>
          </w:pPr>
          <w:r>
            <w:rPr>
              <w:rFonts w:ascii="Cambria" w:hAnsi="Cambria" w:eastAsia="Cambria"/>
              <w:b/>
              <w:color w:val="666666"/>
              <w:sz w:val="16"/>
            </w:rPr>
            <w:t>FSMS-MAN-001</w:t>
            <w:br/>
          </w:r>
          <w:r>
            <w:rPr>
              <w:rFonts w:ascii="Cambria" w:hAnsi="Cambria" w:eastAsia="Cambria"/>
              <w:color w:val="666666"/>
              <w:sz w:val="16"/>
            </w:rPr>
            <w:t>Version 1.0</w:t>
            <w:br/>
          </w:r>
          <w:r>
            <w:rPr>
              <w:rFonts w:ascii="Cambria" w:hAnsi="Cambria" w:eastAsia="Cambria"/>
              <w:color w:val="666666"/>
              <w:sz w:val="16"/>
            </w:rPr>
            <w:t>Effective 2026-09-18</w:t>
          </w:r>
        </w:p>
      </w:tc>
    </w:tr>
  </w:tbl>
  <w:p>
    <w:pPr>
      <w:spacing w:after="0"/>
      <w:pBdr>
        <w:bottom w:val="single" w:sz="8" w:color="1F4E79" w:space="1"/>
      </w:pBd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2" w:lineRule="auto"/>
    </w:pPr>
    <w:rPr>
      <w:rFonts w:ascii="Cambria" w:hAnsi="Cambria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Cambria" w:hAnsi="Cambria"/>
      <w:b/>
      <w:bCs/>
      <w:color w:val="1F4E79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Cambria" w:hAnsi="Cambria"/>
      <w:b/>
      <w:bCs/>
      <w:color w:val="000000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Cambria" w:hAnsi="Cambria"/>
      <w:b/>
      <w:color w:val="1F4E79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Cambria" w:hAnsi="Cambria"/>
      <w:sz w:val="2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Cambria" w:hAnsi="Cambria"/>
      <w:sz w:val="2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