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FOOD SAFETY AUDIT GUIDANCE</w:t>
      </w:r>
    </w:p>
    <w:p>
      <w:pPr>
        <w:spacing w:after="120"/>
      </w:pPr>
      <w:r>
        <w:rPr>
          <w:rFonts w:ascii="Cambria" w:hAnsi="Cambria" w:eastAsia="Cambria"/>
          <w:b/>
          <w:sz w:val="23"/>
        </w:rPr>
        <w:t>ISO 22000:2018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Internal Audit Programme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Food Safety Team Leader / 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Food-safety auditing requires both management-system audit competence and sufficient technical understanding of the audited product/process risks. Use qualified technical support where needed and preserve auditor objectivity.</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practical guidance for planning and conducting effective FSMS audits, especially where auditors need to evaluate PRPs, hazard analysis, OPRP/CCP controls, potentially unsafe product, traceability, verification and continual improvement rather than only document compliance.</w:t>
      </w:r>
    </w:p>
    <w:p>
      <w:pPr>
        <w:pStyle w:val="Heading1"/>
        <w:keepNext/>
        <w:spacing w:before="120" w:after="60" w:line="252" w:lineRule="auto"/>
      </w:pPr>
      <w:r>
        <w:rPr>
          <w:rFonts w:ascii="Cambria" w:hAnsi="Cambria" w:eastAsia="Cambria"/>
          <w:b/>
          <w:color w:val="1F4E79"/>
          <w:sz w:val="24"/>
        </w:rPr>
        <w:t>2. Risk-Based Audit Planning</w:t>
      </w:r>
    </w:p>
    <w:p>
      <w:pPr>
        <w:spacing w:before="0" w:after="80" w:line="252" w:lineRule="auto"/>
      </w:pPr>
      <w:r>
        <w:rPr>
          <w:rFonts w:ascii="Cambria" w:hAnsi="Cambria" w:eastAsia="Cambria"/>
          <w:i w:val="0"/>
          <w:sz w:val="20"/>
        </w:rPr>
        <w:t>Audit frequency, duration and sampling should reflect food-safety risk, process criticality, changes, past findings, complaints/incidents, verification trends, supplier performance and management concerns. Higher-risk or rapidly changing processes may require more frequent or focused audits.</w:t>
      </w:r>
    </w:p>
    <w:tbl>
      <w:tblPr>
        <w:tblW w:type="auto" w:w="0"/>
        <w:jc w:val="center"/>
        <w:tblLayout w:type="fixed"/>
        <w:tblLook w:val="04A0"/>
      </w:tblPr>
      <w:tblGrid>
        <w:gridCol w:w="4677"/>
        <w:gridCol w:w="4677"/>
      </w:tblGrid>
      <w:tr>
        <w:trPr>
          <w:tblHeader w:val="true"/>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Planning Input</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How It Should Influence Audit</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Significant hazards / control points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Increase technical depth and sampling around monitoring, deviations, affected-product decisions and verification.</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PRP trend deterioration</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Observe site conditions and sample corrective actions, not only PRP records.</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New product / process / equipment</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Check change planning, product/process information, hazard-analysis update and validation.</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Supplier / outsourced-process change</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approval, specifications, change communication, monitoring and food-safety interface.</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Complaint / incident / withdrawal trend</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Trace causes, control failure, containment and effectiveness of corrective action.</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Previous findings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Test implementation and sustained effectiveness rather than accepting closure paperwork alone.</w:t>
            </w:r>
          </w:p>
        </w:tc>
      </w:tr>
    </w:tbl>
    <w:p>
      <w:pPr>
        <w:pStyle w:val="Heading1"/>
        <w:keepNext/>
        <w:spacing w:before="120" w:after="60" w:line="252" w:lineRule="auto"/>
      </w:pPr>
      <w:r>
        <w:rPr>
          <w:rFonts w:ascii="Cambria" w:hAnsi="Cambria" w:eastAsia="Cambria"/>
          <w:b/>
          <w:color w:val="1F4E79"/>
          <w:sz w:val="24"/>
        </w:rPr>
        <w:t>3. Evidence Strategy</w:t>
      </w:r>
    </w:p>
    <w:p>
      <w:pPr>
        <w:pStyle w:val="ListBullet"/>
        <w:spacing w:before="0" w:after="50" w:line="252" w:lineRule="auto"/>
      </w:pPr>
      <w:r>
        <w:rPr>
          <w:rFonts w:ascii="Cambria" w:hAnsi="Cambria" w:eastAsia="Cambria"/>
          <w:sz w:val="20"/>
        </w:rPr>
        <w:t>Start with process purpose, hazards and controls, then identify evidence that should exist if the process is working.</w:t>
      </w:r>
    </w:p>
    <w:p>
      <w:pPr>
        <w:pStyle w:val="ListBullet"/>
        <w:spacing w:before="0" w:after="50" w:line="252" w:lineRule="auto"/>
      </w:pPr>
      <w:r>
        <w:rPr>
          <w:rFonts w:ascii="Cambria" w:hAnsi="Cambria" w:eastAsia="Cambria"/>
          <w:sz w:val="20"/>
        </w:rPr>
        <w:t>Use triangulation: document/record review + observation + interview + system/technical evidence where relevant.</w:t>
      </w:r>
    </w:p>
    <w:p>
      <w:pPr>
        <w:pStyle w:val="ListBullet"/>
        <w:spacing w:before="0" w:after="50" w:line="252" w:lineRule="auto"/>
      </w:pPr>
      <w:r>
        <w:rPr>
          <w:rFonts w:ascii="Cambria" w:hAnsi="Cambria" w:eastAsia="Cambria"/>
          <w:sz w:val="20"/>
        </w:rPr>
        <w:t>Follow one product/process or batch/lot trail across receiving, processing, monitoring, hold/release, traceability and dispatch where useful.</w:t>
      </w:r>
    </w:p>
    <w:p>
      <w:pPr>
        <w:pStyle w:val="ListBullet"/>
        <w:spacing w:before="0" w:after="50" w:line="252" w:lineRule="auto"/>
      </w:pPr>
      <w:r>
        <w:rPr>
          <w:rFonts w:ascii="Cambria" w:hAnsi="Cambria" w:eastAsia="Cambria"/>
          <w:sz w:val="20"/>
        </w:rPr>
        <w:t>Use vertical tracing for a specific control and horizontal sampling for consistency across shifts, dates, lines or products.</w:t>
      </w:r>
    </w:p>
    <w:p>
      <w:pPr>
        <w:pStyle w:val="ListBullet"/>
        <w:spacing w:before="0" w:after="50" w:line="252" w:lineRule="auto"/>
      </w:pPr>
      <w:r>
        <w:rPr>
          <w:rFonts w:ascii="Cambria" w:hAnsi="Cambria" w:eastAsia="Cambria"/>
          <w:sz w:val="20"/>
        </w:rPr>
        <w:t>Record sample size/date/source so findings are reproducible and factual.</w:t>
      </w:r>
    </w:p>
    <w:p>
      <w:pPr>
        <w:pStyle w:val="Heading1"/>
        <w:keepNext/>
        <w:spacing w:before="120" w:after="60" w:line="252" w:lineRule="auto"/>
      </w:pPr>
      <w:r>
        <w:rPr>
          <w:rFonts w:ascii="Cambria" w:hAnsi="Cambria" w:eastAsia="Cambria"/>
          <w:b/>
          <w:color w:val="1F4E79"/>
          <w:sz w:val="24"/>
        </w:rPr>
        <w:t>4. Auditing Prerequisite Programmes</w:t>
      </w:r>
    </w:p>
    <w:p>
      <w:pPr>
        <w:spacing w:before="0" w:after="80" w:line="252" w:lineRule="auto"/>
      </w:pPr>
      <w:r>
        <w:rPr>
          <w:rFonts w:ascii="Cambria" w:hAnsi="Cambria" w:eastAsia="Cambria"/>
          <w:i w:val="0"/>
          <w:sz w:val="20"/>
        </w:rPr>
        <w:t>PRP audits should combine record review with direct observation of the work environment. Compare planned controls with actual conditions, including cleaning execution, zoning, maintenance status, pest indicators, waste flow, personnel hygiene, allergen segregation, utilities and storage/transport conditions as applicable.</w:t>
      </w: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 completed checklist is not enough to demonstrate an effective PRP. Auditors should look for physical evidence, recurring trends, missed corrective actions and conditions that could undermine hazard-control measures.</w:t>
            </w:r>
          </w:p>
        </w:tc>
      </w:tr>
    </w:tbl>
    <w:p>
      <w:pPr>
        <w:spacing w:after="20"/>
      </w:pPr>
    </w:p>
    <w:p>
      <w:pPr>
        <w:pStyle w:val="Heading1"/>
        <w:keepNext/>
        <w:spacing w:before="120" w:after="60" w:line="252" w:lineRule="auto"/>
      </w:pPr>
      <w:r>
        <w:rPr>
          <w:rFonts w:ascii="Cambria" w:hAnsi="Cambria" w:eastAsia="Cambria"/>
          <w:b/>
          <w:color w:val="1F4E79"/>
          <w:sz w:val="24"/>
        </w:rPr>
        <w:t>5. Auditing Hazard Analysis and Control Plans</w:t>
      </w:r>
    </w:p>
    <w:tbl>
      <w:tblPr>
        <w:tblW w:type="auto" w:w="0"/>
        <w:jc w:val="center"/>
        <w:tblLayout w:type="fixed"/>
        <w:tblLook w:val="04A0"/>
      </w:tblPr>
      <w:tblGrid>
        <w:gridCol w:w="4677"/>
        <w:gridCol w:w="4677"/>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Audit Test</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What to Verify</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Inputs</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Current raw-material/product information, intended use, process descriptions and verified flow diagrams.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Hazard Identification</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Reasonably expected hazards are considered using current evidence and actual process conditions.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Significance Assessment</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The method is consistently applied and decisions are supported, especially after product/process/supplier changes.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 Measure Decision</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Selected measures are capable of control and the OPRP/CCP categorization follows approved logic.</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Criteria / Monitoring</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criteria, monitoring method/frequency, responsibility and record expectations are clear and implemented.</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Deviation Response</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Correction, potentially unsafe product evaluation, disposition, escalation and corrective action are demonstrated.</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Validation / Verification</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Controls have adequate validation where required and ongoing verification identifies deterioration or change.</w:t>
            </w:r>
          </w:p>
        </w:tc>
      </w:tr>
    </w:tbl>
    <w:p>
      <w:pPr>
        <w:pStyle w:val="Heading1"/>
        <w:keepNext/>
        <w:spacing w:before="120" w:after="60" w:line="252" w:lineRule="auto"/>
      </w:pPr>
      <w:r>
        <w:rPr>
          <w:rFonts w:ascii="Cambria" w:hAnsi="Cambria" w:eastAsia="Cambria"/>
          <w:b/>
          <w:color w:val="1F4E79"/>
          <w:sz w:val="24"/>
        </w:rPr>
        <w:t>6. Auditing Traceability, Recall and Emergency Readiness</w:t>
      </w:r>
    </w:p>
    <w:p>
      <w:pPr>
        <w:pStyle w:val="ListBullet"/>
        <w:spacing w:before="0" w:after="50" w:line="252" w:lineRule="auto"/>
      </w:pPr>
      <w:r>
        <w:rPr>
          <w:rFonts w:ascii="Cambria" w:hAnsi="Cambria" w:eastAsia="Cambria"/>
          <w:sz w:val="20"/>
        </w:rPr>
        <w:t>Select a representative material/product and verify traceability records in both relevant directions.</w:t>
      </w:r>
    </w:p>
    <w:p>
      <w:pPr>
        <w:pStyle w:val="ListBullet"/>
        <w:spacing w:before="0" w:after="50" w:line="252" w:lineRule="auto"/>
      </w:pPr>
      <w:r>
        <w:rPr>
          <w:rFonts w:ascii="Cambria" w:hAnsi="Cambria" w:eastAsia="Cambria"/>
          <w:sz w:val="20"/>
        </w:rPr>
        <w:t>Review quantity reconciliation, data completeness, timing and unresolved gaps from exercises.</w:t>
      </w:r>
    </w:p>
    <w:p>
      <w:pPr>
        <w:pStyle w:val="ListBullet"/>
        <w:spacing w:before="0" w:after="50" w:line="252" w:lineRule="auto"/>
      </w:pPr>
      <w:r>
        <w:rPr>
          <w:rFonts w:ascii="Cambria" w:hAnsi="Cambria" w:eastAsia="Cambria"/>
          <w:sz w:val="20"/>
        </w:rPr>
        <w:t>Check that withdrawal/recall roles, contacts, product identification and decision records are current.</w:t>
      </w:r>
    </w:p>
    <w:p>
      <w:pPr>
        <w:pStyle w:val="ListBullet"/>
        <w:spacing w:before="0" w:after="50" w:line="252" w:lineRule="auto"/>
      </w:pPr>
      <w:r>
        <w:rPr>
          <w:rFonts w:ascii="Cambria" w:hAnsi="Cambria" w:eastAsia="Cambria"/>
          <w:sz w:val="20"/>
        </w:rPr>
        <w:t>Review emergency exercises or actual disruptions for evidence that food-safety risk was assessed before product disposition.</w:t>
      </w:r>
    </w:p>
    <w:p>
      <w:pPr>
        <w:pStyle w:val="Heading1"/>
        <w:keepNext/>
        <w:spacing w:before="120" w:after="60" w:line="252" w:lineRule="auto"/>
      </w:pPr>
      <w:r>
        <w:rPr>
          <w:rFonts w:ascii="Cambria" w:hAnsi="Cambria" w:eastAsia="Cambria"/>
          <w:b/>
          <w:color w:val="1F4E79"/>
          <w:sz w:val="24"/>
        </w:rPr>
        <w:t>7. Interviews and Observation</w:t>
      </w:r>
    </w:p>
    <w:p>
      <w:pPr>
        <w:spacing w:before="0" w:after="80" w:line="252" w:lineRule="auto"/>
      </w:pPr>
      <w:r>
        <w:rPr>
          <w:rFonts w:ascii="Cambria" w:hAnsi="Cambria" w:eastAsia="Cambria"/>
          <w:i w:val="0"/>
          <w:sz w:val="20"/>
        </w:rPr>
        <w:t>Use open questions such as "Show me what you do when this monitoring result is outside the criterion" or "How do you know this specification is current?" Follow the answer to objective evidence. Avoid leading questions that merely confirm the procedure wording.</w:t>
      </w:r>
    </w:p>
    <w:p>
      <w:pPr>
        <w:pStyle w:val="Heading1"/>
        <w:keepNext/>
        <w:spacing w:before="120" w:after="60" w:line="252" w:lineRule="auto"/>
      </w:pPr>
      <w:r>
        <w:rPr>
          <w:rFonts w:ascii="Cambria" w:hAnsi="Cambria" w:eastAsia="Cambria"/>
          <w:b/>
          <w:color w:val="1F4E79"/>
          <w:sz w:val="24"/>
        </w:rPr>
        <w:t>8. Writing Findings</w:t>
      </w:r>
    </w:p>
    <w:p>
      <w:pPr>
        <w:spacing w:before="0" w:after="80" w:line="252" w:lineRule="auto"/>
      </w:pPr>
      <w:r>
        <w:rPr>
          <w:rFonts w:ascii="Cambria" w:hAnsi="Cambria" w:eastAsia="Cambria"/>
          <w:i w:val="0"/>
          <w:sz w:val="20"/>
        </w:rPr>
        <w:t>A strong finding contains: the criterion, objective evidence and the demonstrated gap. Avoid vague statements such as "system ineffective" without explaining the sampled evidence. Do not add unsupported root-cause assumptions to the finding statement.</w:t>
      </w:r>
    </w:p>
    <w:tbl>
      <w:tblPr>
        <w:tblW w:type="auto" w:w="0"/>
        <w:jc w:val="center"/>
        <w:tblLayout w:type="fixed"/>
        <w:tblLook w:val="04A0"/>
      </w:tblPr>
      <w:tblGrid>
        <w:gridCol w:w="4677"/>
        <w:gridCol w:w="4677"/>
      </w:tblGrid>
      <w:tr>
        <w:trPr>
          <w:tblHeader w:val="true"/>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Weak Statement</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Improved Evidence-Based Statement</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Training is poor.</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Three of five sampled operators assigned to allergen changeover could not demonstrate the approved line-clearance verification step required by WI-###, and the latest competence record did not cover this task.</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Traceability is slow.</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The 2026-08 mock trace achieved full reconciliation but exceeded the organization-approved completion target because packaging-code records required manual retrieval from a separate archive.</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CCP control is ineffective.</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For one sampled CCP deviation, the record did not demonstrate evaluation of product produced since the last acceptable monitoring result before release decision, as required by the approved deviation procedure.</w:t>
            </w:r>
          </w:p>
        </w:tc>
      </w:tr>
    </w:tbl>
    <w:p>
      <w:pPr>
        <w:pStyle w:val="Heading1"/>
        <w:keepNext/>
        <w:spacing w:before="120" w:after="60" w:line="252" w:lineRule="auto"/>
      </w:pPr>
      <w:r>
        <w:rPr>
          <w:rFonts w:ascii="Cambria" w:hAnsi="Cambria" w:eastAsia="Cambria"/>
          <w:b/>
          <w:color w:val="1F4E79"/>
          <w:sz w:val="24"/>
        </w:rPr>
        <w:t>9. Illustrative Audit Scenarios</w:t>
      </w:r>
    </w:p>
    <w:tbl>
      <w:tblPr>
        <w:tblW w:type="auto" w:w="0"/>
        <w:jc w:val="center"/>
        <w:tblLayout w:type="fixed"/>
        <w:tblLook w:val="04A0"/>
      </w:tblPr>
      <w:tblGrid>
        <w:gridCol w:w="2339"/>
        <w:gridCol w:w="2339"/>
        <w:gridCol w:w="2339"/>
        <w:gridCol w:w="2339"/>
      </w:tblGrid>
      <w:tr>
        <w:trPr>
          <w:tblHeader w:val="true"/>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Data Type</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Scenario</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Illustrative Evidence Situation</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Auditor Focus</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Cleaning Verification</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Two repeat hygiene findings occur in the same zone despite closed actions.</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Expand sample; test cause/effectiveness; consider systemic corrective-action weakness.</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Allergen Change</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Supplier updates allergen status of an ingredient.</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Trace specification update, hazard analysis, label review, line controls and change approval.</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CCP Deviation</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Critical criterion is missed during one batch.</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Verify stop/hold, affected-product evaluation, authorized disposition, cause/action and subsequent monitoring.</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Cold Storage Supplier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Outsourced cold-storage service expands to a new location.</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supplier change approval, temperature/traceability interfaces, incident communication and monitoring.</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Traceability Exercise</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Reconciliation is complete but target time is missed.</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Determine whether delay affects recall readiness; verify improvement action and repeat test.</w:t>
            </w:r>
          </w:p>
        </w:tc>
      </w:tr>
    </w:tbl>
    <w:p>
      <w:pPr>
        <w:pStyle w:val="Heading1"/>
        <w:keepNext/>
        <w:spacing w:before="120" w:after="60" w:line="252" w:lineRule="auto"/>
      </w:pPr>
      <w:r>
        <w:rPr>
          <w:rFonts w:ascii="Cambria" w:hAnsi="Cambria" w:eastAsia="Cambria"/>
          <w:b/>
          <w:color w:val="1F4E79"/>
          <w:sz w:val="24"/>
        </w:rPr>
        <w:t>10. Closing Meeting and Reporting</w:t>
      </w:r>
    </w:p>
    <w:p>
      <w:pPr>
        <w:pStyle w:val="ListBullet"/>
        <w:spacing w:before="0" w:after="50" w:line="252" w:lineRule="auto"/>
      </w:pPr>
      <w:r>
        <w:rPr>
          <w:rFonts w:ascii="Cambria" w:hAnsi="Cambria" w:eastAsia="Cambria"/>
          <w:sz w:val="20"/>
        </w:rPr>
        <w:t>Present findings factually and distinguish confirmed nonconformity from open evidence questions.</w:t>
      </w:r>
    </w:p>
    <w:p>
      <w:pPr>
        <w:pStyle w:val="ListBullet"/>
        <w:spacing w:before="0" w:after="50" w:line="252" w:lineRule="auto"/>
      </w:pPr>
      <w:r>
        <w:rPr>
          <w:rFonts w:ascii="Cambria" w:hAnsi="Cambria" w:eastAsia="Cambria"/>
          <w:sz w:val="20"/>
        </w:rPr>
        <w:t>Communicate immediate food-safety concerns without waiting for the final report.</w:t>
      </w:r>
    </w:p>
    <w:p>
      <w:pPr>
        <w:pStyle w:val="ListBullet"/>
        <w:spacing w:before="0" w:after="50" w:line="252" w:lineRule="auto"/>
      </w:pPr>
      <w:r>
        <w:rPr>
          <w:rFonts w:ascii="Cambria" w:hAnsi="Cambria" w:eastAsia="Cambria"/>
          <w:sz w:val="20"/>
        </w:rPr>
        <w:t>Summarize systemic themes and strengths, not only individual findings.</w:t>
      </w:r>
    </w:p>
    <w:p>
      <w:pPr>
        <w:pStyle w:val="ListBullet"/>
        <w:spacing w:before="0" w:after="50" w:line="252" w:lineRule="auto"/>
      </w:pPr>
      <w:r>
        <w:rPr>
          <w:rFonts w:ascii="Cambria" w:hAnsi="Cambria" w:eastAsia="Cambria"/>
          <w:sz w:val="20"/>
        </w:rPr>
        <w:t>Agree action-owner response dates through the organization's procedure, while preserving auditor independence over findings.</w:t>
      </w:r>
    </w:p>
    <w:p>
      <w:pPr>
        <w:pStyle w:val="Heading1"/>
        <w:keepNext/>
        <w:spacing w:before="120" w:after="60" w:line="252" w:lineRule="auto"/>
      </w:pPr>
      <w:r>
        <w:rPr>
          <w:rFonts w:ascii="Cambria" w:hAnsi="Cambria" w:eastAsia="Cambria"/>
          <w:b/>
          <w:color w:val="1F4E79"/>
          <w:sz w:val="24"/>
        </w:rPr>
        <w:t>11. Follow-Up and Effectiveness</w:t>
      </w:r>
    </w:p>
    <w:p>
      <w:pPr>
        <w:spacing w:before="0" w:after="80" w:line="252" w:lineRule="auto"/>
      </w:pPr>
      <w:r>
        <w:rPr>
          <w:rFonts w:ascii="Cambria" w:hAnsi="Cambria" w:eastAsia="Cambria"/>
          <w:i w:val="0"/>
          <w:sz w:val="20"/>
        </w:rPr>
        <w:t>Closure should confirm that the agreed correction/corrective action was implemented. For high-risk, repeated or systemic findings, verify effectiveness using an appropriate later sample, trend, observation or process result before final closure where the audit procedure requires it.</w:t>
      </w:r>
    </w:p>
    <w:p>
      <w:pPr>
        <w:pStyle w:val="Heading1"/>
        <w:keepNext/>
        <w:spacing w:before="120" w:after="60" w:line="252" w:lineRule="auto"/>
      </w:pPr>
      <w:r>
        <w:rPr>
          <w:rFonts w:ascii="Cambria" w:hAnsi="Cambria" w:eastAsia="Cambria"/>
          <w:b/>
          <w:color w:val="1F4E79"/>
          <w:sz w:val="24"/>
        </w:rPr>
        <w:t>12. Common Audit Pitfalls</w:t>
      </w:r>
    </w:p>
    <w:p>
      <w:pPr>
        <w:pStyle w:val="ListBullet"/>
        <w:spacing w:before="0" w:after="50" w:line="252" w:lineRule="auto"/>
      </w:pPr>
      <w:r>
        <w:rPr>
          <w:rFonts w:ascii="Cambria" w:hAnsi="Cambria" w:eastAsia="Cambria"/>
          <w:sz w:val="20"/>
        </w:rPr>
        <w:t>Auditing the clause sequence instead of following process/hazard risk.</w:t>
      </w:r>
    </w:p>
    <w:p>
      <w:pPr>
        <w:pStyle w:val="ListBullet"/>
        <w:spacing w:before="0" w:after="50" w:line="252" w:lineRule="auto"/>
      </w:pPr>
      <w:r>
        <w:rPr>
          <w:rFonts w:ascii="Cambria" w:hAnsi="Cambria" w:eastAsia="Cambria"/>
          <w:sz w:val="20"/>
        </w:rPr>
        <w:t>Relying on policies/procedures without observing actual operations.</w:t>
      </w:r>
    </w:p>
    <w:p>
      <w:pPr>
        <w:pStyle w:val="ListBullet"/>
        <w:spacing w:before="0" w:after="50" w:line="252" w:lineRule="auto"/>
      </w:pPr>
      <w:r>
        <w:rPr>
          <w:rFonts w:ascii="Cambria" w:hAnsi="Cambria" w:eastAsia="Cambria"/>
          <w:sz w:val="20"/>
        </w:rPr>
        <w:t>Treating a single missing signature as equivalent to a food-safety control failure without context.</w:t>
      </w:r>
    </w:p>
    <w:p>
      <w:pPr>
        <w:pStyle w:val="ListBullet"/>
        <w:spacing w:before="0" w:after="50" w:line="252" w:lineRule="auto"/>
      </w:pPr>
      <w:r>
        <w:rPr>
          <w:rFonts w:ascii="Cambria" w:hAnsi="Cambria" w:eastAsia="Cambria"/>
          <w:sz w:val="20"/>
        </w:rPr>
        <w:t>Failing to sample deviation/hold/release records around OPRP/CCP controls.</w:t>
      </w:r>
    </w:p>
    <w:p>
      <w:pPr>
        <w:pStyle w:val="ListBullet"/>
        <w:spacing w:before="0" w:after="50" w:line="252" w:lineRule="auto"/>
      </w:pPr>
      <w:r>
        <w:rPr>
          <w:rFonts w:ascii="Cambria" w:hAnsi="Cambria" w:eastAsia="Cambria"/>
          <w:sz w:val="20"/>
        </w:rPr>
        <w:t>Writing root cause in the finding without evidence.</w:t>
      </w:r>
    </w:p>
    <w:p>
      <w:pPr>
        <w:pStyle w:val="ListBullet"/>
        <w:spacing w:before="0" w:after="50" w:line="252" w:lineRule="auto"/>
      </w:pPr>
      <w:r>
        <w:rPr>
          <w:rFonts w:ascii="Cambria" w:hAnsi="Cambria" w:eastAsia="Cambria"/>
          <w:sz w:val="20"/>
        </w:rPr>
        <w:t>Closing a systemic issue based only on a revised document.</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Use in this document</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Source / Location</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ISO 22000:2018</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Published FSMS requirements; controlled baseline used in this toolkit.</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https://www.iso.org/standard/65464.html</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ISO 22000:2018/Amd 1:2024</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Climate-action amendment applicable to ISO 22000:2018.</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https://www.iso.org/standard/88410.html</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ISO/DIS 22000</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Revision under development; not the controlled baseline until formally published/adopted.</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https://www.iso.org/standard/88794.html</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Organization FSMS information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Approved requirements, specifications, PRP/hazard-control records, monitoring, verification, incidents and management evidence.</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Internal Audit Programme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Food Safety Team Leader / 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Food Safety Audit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FSMS-GOV-003</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