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pStyle w:val="Title"/>
        <w:spacing w:after="60"/>
        <w:jc w:val="center"/>
      </w:pPr>
      <w:r>
        <w:rPr>
          <w:rFonts w:ascii="Cambria" w:hAnsi="Cambria"/>
          <w:b/>
          <w:i w:val="0"/>
          <w:color w:val="1F4E79"/>
          <w:sz w:val="40"/>
        </w:rPr>
        <w:t>Documented Information Procedure</w:t>
      </w:r>
    </w:p>
    <w:p>
      <w:pPr>
        <w:spacing w:after="200"/>
        <w:jc w:val="center"/>
      </w:pPr>
      <w:r>
        <w:rPr>
          <w:rFonts w:ascii="Cambria" w:hAnsi="Cambria"/>
          <w:b/>
          <w:i w:val="0"/>
          <w:color w:val="1F4E79"/>
          <w:sz w:val="21"/>
        </w:rPr>
        <w:t>ISO 22000 FOOD SAFETY MANAGEMENT SYSTEM</w:t>
      </w:r>
    </w:p>
    <w:tbl>
      <w:tblPr>
        <w:tblStyle w:val="TableGrid"/>
        <w:tblW w:type="auto" w:w="0"/>
        <w:jc w:val="center"/>
        <w:tblLayout w:type="fixed"/>
        <w:tblLook w:val="04A0"/>
      </w:tblPr>
      <w:tblGrid>
        <w:gridCol w:w="4677"/>
        <w:gridCol w:w="4677"/>
      </w:tblGrid>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Document Code</w:t>
            </w:r>
          </w:p>
        </w:tc>
        <w:tc>
          <w:tcPr>
            <w:tcW w:type="dxa" w:w="6768"/>
            <w:vAlign w:val="center"/>
          </w:tcPr>
          <w:p>
            <w:pPr>
              <w:spacing w:after="0" w:before="0" w:line="240" w:lineRule="auto"/>
              <w:jc w:val="left"/>
            </w:pPr>
            <w:r/>
            <w:r>
              <w:rPr>
                <w:rFonts w:ascii="Cambria" w:hAnsi="Cambria"/>
                <w:b w:val="0"/>
                <w:i w:val="0"/>
                <w:color w:val="000000"/>
                <w:sz w:val="18"/>
              </w:rPr>
              <w:t>FSMS-PRO-001</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Document Type</w:t>
            </w:r>
          </w:p>
        </w:tc>
        <w:tc>
          <w:tcPr>
            <w:tcW w:type="dxa" w:w="6768"/>
            <w:vAlign w:val="center"/>
          </w:tcPr>
          <w:p>
            <w:pPr>
              <w:spacing w:after="0" w:before="0" w:line="240" w:lineRule="auto"/>
              <w:jc w:val="left"/>
            </w:pPr>
            <w:r/>
            <w:r>
              <w:rPr>
                <w:rFonts w:ascii="Cambria" w:hAnsi="Cambria"/>
                <w:b w:val="0"/>
                <w:i w:val="0"/>
                <w:color w:val="000000"/>
                <w:sz w:val="18"/>
              </w:rPr>
              <w:t>Procedure</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Version</w:t>
            </w:r>
          </w:p>
        </w:tc>
        <w:tc>
          <w:tcPr>
            <w:tcW w:type="dxa" w:w="6768"/>
            <w:vAlign w:val="center"/>
          </w:tcPr>
          <w:p>
            <w:pPr>
              <w:spacing w:after="0" w:before="0" w:line="240" w:lineRule="auto"/>
              <w:jc w:val="left"/>
            </w:pPr>
            <w:r/>
            <w:r>
              <w:rPr>
                <w:rFonts w:ascii="Cambria" w:hAnsi="Cambria"/>
                <w:b w:val="0"/>
                <w:i w:val="0"/>
                <w:color w:val="000000"/>
                <w:sz w:val="18"/>
              </w:rPr>
              <w:t>1.0</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Effective Date</w:t>
            </w:r>
          </w:p>
        </w:tc>
        <w:tc>
          <w:tcPr>
            <w:tcW w:type="dxa" w:w="6768"/>
            <w:vAlign w:val="center"/>
          </w:tcPr>
          <w:p>
            <w:pPr>
              <w:spacing w:after="0" w:before="0" w:line="240" w:lineRule="auto"/>
              <w:jc w:val="left"/>
            </w:pPr>
            <w:r/>
            <w:r>
              <w:rPr>
                <w:rFonts w:ascii="Cambria" w:hAnsi="Cambria"/>
                <w:b w:val="0"/>
                <w:i w:val="0"/>
                <w:color w:val="000000"/>
                <w:sz w:val="18"/>
              </w:rPr>
              <w:t>18 September 2026</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Next Review Date</w:t>
            </w:r>
          </w:p>
        </w:tc>
        <w:tc>
          <w:tcPr>
            <w:tcW w:type="dxa" w:w="6768"/>
            <w:vAlign w:val="center"/>
          </w:tcPr>
          <w:p>
            <w:pPr>
              <w:spacing w:after="0" w:before="0" w:line="240" w:lineRule="auto"/>
              <w:jc w:val="left"/>
            </w:pPr>
            <w:r/>
            <w:r>
              <w:rPr>
                <w:rFonts w:ascii="Cambria" w:hAnsi="Cambria"/>
                <w:b w:val="0"/>
                <w:i w:val="0"/>
                <w:color w:val="000000"/>
                <w:sz w:val="18"/>
              </w:rPr>
              <w:t>18 September 2027</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Document Owner</w:t>
            </w:r>
          </w:p>
        </w:tc>
        <w:tc>
          <w:tcPr>
            <w:tcW w:type="dxa" w:w="6768"/>
            <w:vAlign w:val="center"/>
          </w:tcPr>
          <w:p>
            <w:pPr>
              <w:spacing w:after="0" w:before="0" w:line="240" w:lineRule="auto"/>
              <w:jc w:val="left"/>
            </w:pPr>
            <w:r/>
            <w:r>
              <w:rPr>
                <w:rFonts w:ascii="Cambria" w:hAnsi="Cambria"/>
                <w:b w:val="0"/>
                <w:i w:val="0"/>
                <w:color w:val="000000"/>
                <w:sz w:val="18"/>
              </w:rPr>
              <w:t>Food Safety Team Leader / Document Control Owner</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Approver</w:t>
            </w:r>
          </w:p>
        </w:tc>
        <w:tc>
          <w:tcPr>
            <w:tcW w:type="dxa" w:w="6768"/>
            <w:vAlign w:val="center"/>
          </w:tcPr>
          <w:p>
            <w:pPr>
              <w:spacing w:after="0" w:before="0" w:line="240" w:lineRule="auto"/>
              <w:jc w:val="left"/>
            </w:pPr>
            <w:r/>
            <w:r>
              <w:rPr>
                <w:rFonts w:ascii="Cambria" w:hAnsi="Cambria"/>
                <w:b w:val="0"/>
                <w:i w:val="0"/>
                <w:color w:val="000000"/>
                <w:sz w:val="18"/>
              </w:rPr>
              <w:t>[APPROVER]</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Classification</w:t>
            </w:r>
          </w:p>
        </w:tc>
        <w:tc>
          <w:tcPr>
            <w:tcW w:type="dxa" w:w="6768"/>
            <w:vAlign w:val="center"/>
          </w:tcPr>
          <w:p>
            <w:pPr>
              <w:spacing w:after="0" w:before="0" w:line="240" w:lineRule="auto"/>
              <w:jc w:val="left"/>
            </w:pPr>
            <w:r/>
            <w:r>
              <w:rPr>
                <w:rFonts w:ascii="Cambria" w:hAnsi="Cambria"/>
                <w:b w:val="0"/>
                <w:i w:val="0"/>
                <w:color w:val="000000"/>
                <w:sz w:val="18"/>
              </w:rPr>
              <w:t>INTERNAL</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Applicable Standard</w:t>
            </w:r>
          </w:p>
        </w:tc>
        <w:tc>
          <w:tcPr>
            <w:tcW w:type="dxa" w:w="6768"/>
            <w:vAlign w:val="center"/>
          </w:tcPr>
          <w:p>
            <w:pPr>
              <w:spacing w:after="0" w:before="0" w:line="240" w:lineRule="auto"/>
              <w:jc w:val="left"/>
            </w:pPr>
            <w:r/>
            <w:r>
              <w:rPr>
                <w:rFonts w:ascii="Cambria" w:hAnsi="Cambria"/>
                <w:b w:val="0"/>
                <w:i w:val="0"/>
                <w:color w:val="000000"/>
                <w:sz w:val="18"/>
              </w:rPr>
              <w:t>ISO 22000:2018 + Amendment 1:2024</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Review Cycle</w:t>
            </w:r>
          </w:p>
        </w:tc>
        <w:tc>
          <w:tcPr>
            <w:tcW w:type="dxa" w:w="6768"/>
            <w:vAlign w:val="center"/>
          </w:tcPr>
          <w:p>
            <w:pPr>
              <w:spacing w:after="0" w:before="0" w:line="240" w:lineRule="auto"/>
              <w:jc w:val="left"/>
            </w:pPr>
            <w:r/>
            <w:r>
              <w:rPr>
                <w:rFonts w:ascii="Cambria" w:hAnsi="Cambria"/>
                <w:b w:val="0"/>
                <w:i w:val="0"/>
                <w:color w:val="000000"/>
                <w:sz w:val="18"/>
              </w:rPr>
              <w:t>ANNUAL</w:t>
            </w:r>
          </w:p>
        </w:tc>
      </w:tr>
    </w:tbl>
    <w:p>
      <w:pPr>
        <w:keepLines/>
        <w:spacing w:before="80" w:after="120"/>
      </w:pPr>
      <w:r>
        <w:rPr>
          <w:rFonts w:ascii="Cambria" w:hAnsi="Cambria"/>
          <w:b/>
          <w:i/>
          <w:color w:val="C00000"/>
          <w:sz w:val="19"/>
        </w:rPr>
        <w:t xml:space="preserve">[Note] </w:t>
      </w:r>
      <w:r>
        <w:rPr>
          <w:rFonts w:ascii="Cambria" w:hAnsi="Cambria"/>
          <w:b w:val="0"/>
          <w:i/>
          <w:color w:val="C00000"/>
          <w:sz w:val="19"/>
        </w:rPr>
        <w:t>Replace organization-specific placeholders and confirm applicable legal, regulatory, customer and sector requirements before controlled release.</w:t>
      </w:r>
    </w:p>
    <w:p/>
    <w:p>
      <w:pPr>
        <w:pStyle w:val="Heading1"/>
        <w:keepNext/>
      </w:pPr>
      <w:r>
        <w:t>1. Purpose</w:t>
      </w:r>
    </w:p>
    <w:p>
      <w:pPr>
        <w:pStyle w:val="BodyText"/>
      </w:pPr>
      <w:r>
        <w:rPr>
          <w:rFonts w:ascii="Cambria" w:hAnsi="Cambria"/>
          <w:b w:val="0"/>
          <w:i w:val="0"/>
          <w:color w:val="000000"/>
          <w:sz w:val="21"/>
        </w:rPr>
        <w:t>To ensure that documented information used to operate and demonstrate the effectiveness of the food safety management system (FSMS) is identifiable, approved, available where needed, protected from unintended change or loss, retained for the required period and removed from use when obsolete.</w:t>
      </w:r>
    </w:p>
    <w:p>
      <w:pPr>
        <w:pStyle w:val="Heading1"/>
        <w:keepNext/>
      </w:pPr>
      <w:r>
        <w:t>2. Scope</w:t>
      </w:r>
    </w:p>
    <w:p>
      <w:pPr>
        <w:pStyle w:val="BodyText"/>
      </w:pPr>
      <w:r>
        <w:rPr>
          <w:rFonts w:ascii="Cambria" w:hAnsi="Cambria"/>
          <w:b w:val="0"/>
          <w:i w:val="0"/>
          <w:color w:val="000000"/>
          <w:sz w:val="21"/>
        </w:rPr>
        <w:t>This procedure applies to controlled FSMS documents and records in paper or electronic form, including internally created documents, externally originated information needed for planning or operation, and records retained as evidence of food safety controls and FSMS performance.</w:t>
      </w:r>
    </w:p>
    <w:p>
      <w:pPr>
        <w:pStyle w:val="Heading1"/>
        <w:keepNext/>
      </w:pPr>
      <w:r>
        <w:t>3. Responsibilities</w:t>
      </w:r>
    </w:p>
    <w:tbl>
      <w:tblPr>
        <w:tblStyle w:val="TableGrid"/>
        <w:tblW w:type="auto" w:w="0"/>
        <w:jc w:val="center"/>
        <w:tblLayout w:type="fixed"/>
        <w:tblLook w:val="04A0"/>
      </w:tblPr>
      <w:tblGrid>
        <w:gridCol w:w="4677"/>
        <w:gridCol w:w="4677"/>
      </w:tblGrid>
      <w:tr>
        <w:trPr>
          <w:cantSplit/>
          <w:tblHeader w:val="true"/>
        </w:trPr>
        <w:tc>
          <w:tcPr>
            <w:tcW w:type="dxa" w:w="2376"/>
            <w:vAlign w:val="center"/>
            <w:shd w:fill="D9EAF7" w:val="clear"/>
          </w:tcPr>
          <w:p>
            <w:pPr>
              <w:spacing w:after="0" w:before="0" w:line="240" w:lineRule="auto"/>
              <w:jc w:val="center"/>
            </w:pPr>
            <w:r/>
            <w:r>
              <w:rPr>
                <w:rFonts w:ascii="Cambria" w:hAnsi="Cambria"/>
                <w:b/>
                <w:i w:val="0"/>
                <w:color w:val="000000"/>
                <w:sz w:val="18"/>
              </w:rPr>
              <w:t>Role</w:t>
            </w:r>
          </w:p>
        </w:tc>
        <w:tc>
          <w:tcPr>
            <w:tcW w:type="dxa" w:w="6912"/>
            <w:vAlign w:val="center"/>
            <w:shd w:fill="D9EAF7" w:val="clear"/>
          </w:tcPr>
          <w:p>
            <w:pPr>
              <w:spacing w:after="0" w:before="0" w:line="240" w:lineRule="auto"/>
              <w:jc w:val="center"/>
            </w:pPr>
            <w:r/>
            <w:r>
              <w:rPr>
                <w:rFonts w:ascii="Cambria" w:hAnsi="Cambria"/>
                <w:b/>
                <w:i w:val="0"/>
                <w:color w:val="000000"/>
                <w:sz w:val="18"/>
              </w:rPr>
              <w:t>Key Responsibilities</w:t>
            </w:r>
          </w:p>
        </w:tc>
      </w:tr>
      <w:tr>
        <w:trPr>
          <w:cantSplit/>
        </w:trPr>
        <w:tc>
          <w:tcPr>
            <w:tcW w:type="dxa" w:w="2376"/>
            <w:vAlign w:val="center"/>
          </w:tcPr>
          <w:p>
            <w:pPr>
              <w:spacing w:after="0" w:before="0" w:line="240" w:lineRule="auto"/>
              <w:jc w:val="left"/>
            </w:pPr>
            <w:r/>
            <w:r>
              <w:rPr>
                <w:rFonts w:ascii="Cambria" w:hAnsi="Cambria"/>
                <w:b/>
                <w:i w:val="0"/>
                <w:color w:val="000000"/>
                <w:sz w:val="18"/>
              </w:rPr>
              <w:t>Top Management</w:t>
            </w:r>
          </w:p>
        </w:tc>
        <w:tc>
          <w:tcPr>
            <w:tcW w:type="dxa" w:w="6912"/>
            <w:vAlign w:val="center"/>
          </w:tcPr>
          <w:p>
            <w:pPr>
              <w:spacing w:after="0" w:before="0" w:line="240" w:lineRule="auto"/>
              <w:jc w:val="left"/>
            </w:pPr>
            <w:r/>
            <w:r>
              <w:rPr>
                <w:rFonts w:ascii="Cambria" w:hAnsi="Cambria"/>
                <w:b w:val="0"/>
                <w:i w:val="0"/>
                <w:color w:val="000000"/>
                <w:sz w:val="18"/>
              </w:rPr>
              <w:t>Approves high-level FSMS policy and other documents assigned to its authority; ensures resources for document and record control.</w:t>
            </w:r>
          </w:p>
        </w:tc>
      </w:tr>
      <w:tr>
        <w:trPr>
          <w:cantSplit/>
        </w:trPr>
        <w:tc>
          <w:tcPr>
            <w:tcW w:type="dxa" w:w="2376"/>
            <w:vAlign w:val="center"/>
          </w:tcPr>
          <w:p>
            <w:pPr>
              <w:spacing w:after="0" w:before="0" w:line="240" w:lineRule="auto"/>
              <w:jc w:val="left"/>
            </w:pPr>
            <w:r/>
            <w:r>
              <w:rPr>
                <w:rFonts w:ascii="Cambria" w:hAnsi="Cambria"/>
                <w:b/>
                <w:i w:val="0"/>
                <w:color w:val="000000"/>
                <w:sz w:val="18"/>
              </w:rPr>
              <w:t>Food Safety Team Leader</w:t>
            </w:r>
          </w:p>
        </w:tc>
        <w:tc>
          <w:tcPr>
            <w:tcW w:type="dxa" w:w="6912"/>
            <w:vAlign w:val="center"/>
          </w:tcPr>
          <w:p>
            <w:pPr>
              <w:spacing w:after="0" w:before="0" w:line="240" w:lineRule="auto"/>
              <w:jc w:val="left"/>
            </w:pPr>
            <w:r/>
            <w:r>
              <w:rPr>
                <w:rFonts w:ascii="Cambria" w:hAnsi="Cambria"/>
                <w:b w:val="0"/>
                <w:i w:val="0"/>
                <w:color w:val="000000"/>
                <w:sz w:val="18"/>
              </w:rPr>
              <w:t>Ensures food-safety-critical documents are technically reviewed, current and consistent with the hazard analysis, PRPs and hazard control plan.</w:t>
            </w:r>
          </w:p>
        </w:tc>
      </w:tr>
      <w:tr>
        <w:trPr>
          <w:cantSplit/>
        </w:trPr>
        <w:tc>
          <w:tcPr>
            <w:tcW w:type="dxa" w:w="2376"/>
            <w:vAlign w:val="center"/>
          </w:tcPr>
          <w:p>
            <w:pPr>
              <w:spacing w:after="0" w:before="0" w:line="240" w:lineRule="auto"/>
              <w:jc w:val="left"/>
            </w:pPr>
            <w:r/>
            <w:r>
              <w:rPr>
                <w:rFonts w:ascii="Cambria" w:hAnsi="Cambria"/>
                <w:b/>
                <w:i w:val="0"/>
                <w:color w:val="000000"/>
                <w:sz w:val="18"/>
              </w:rPr>
              <w:t>Document / Process Owner</w:t>
            </w:r>
          </w:p>
        </w:tc>
        <w:tc>
          <w:tcPr>
            <w:tcW w:type="dxa" w:w="6912"/>
            <w:vAlign w:val="center"/>
          </w:tcPr>
          <w:p>
            <w:pPr>
              <w:spacing w:after="0" w:before="0" w:line="240" w:lineRule="auto"/>
              <w:jc w:val="left"/>
            </w:pPr>
            <w:r/>
            <w:r>
              <w:rPr>
                <w:rFonts w:ascii="Cambria" w:hAnsi="Cambria"/>
                <w:b w:val="0"/>
                <w:i w:val="0"/>
                <w:color w:val="000000"/>
                <w:sz w:val="18"/>
              </w:rPr>
              <w:t>Drafts and maintains content; initiates changes; defines users, retention needs and required evidence.</w:t>
            </w:r>
          </w:p>
        </w:tc>
      </w:tr>
      <w:tr>
        <w:trPr>
          <w:cantSplit/>
        </w:trPr>
        <w:tc>
          <w:tcPr>
            <w:tcW w:type="dxa" w:w="2376"/>
            <w:vAlign w:val="center"/>
          </w:tcPr>
          <w:p>
            <w:pPr>
              <w:spacing w:after="0" w:before="0" w:line="240" w:lineRule="auto"/>
              <w:jc w:val="left"/>
            </w:pPr>
            <w:r/>
            <w:r>
              <w:rPr>
                <w:rFonts w:ascii="Cambria" w:hAnsi="Cambria"/>
                <w:b/>
                <w:i w:val="0"/>
                <w:color w:val="000000"/>
                <w:sz w:val="18"/>
              </w:rPr>
              <w:t>Document Controller / Quality</w:t>
            </w:r>
          </w:p>
        </w:tc>
        <w:tc>
          <w:tcPr>
            <w:tcW w:type="dxa" w:w="6912"/>
            <w:vAlign w:val="center"/>
          </w:tcPr>
          <w:p>
            <w:pPr>
              <w:spacing w:after="0" w:before="0" w:line="240" w:lineRule="auto"/>
              <w:jc w:val="left"/>
            </w:pPr>
            <w:r/>
            <w:r>
              <w:rPr>
                <w:rFonts w:ascii="Cambria" w:hAnsi="Cambria"/>
                <w:b w:val="0"/>
                <w:i w:val="0"/>
                <w:color w:val="000000"/>
                <w:sz w:val="18"/>
              </w:rPr>
              <w:t>Maintains the controlled register, version status, publication, obsolete-document controls and retention rules.</w:t>
            </w:r>
          </w:p>
        </w:tc>
      </w:tr>
      <w:tr>
        <w:trPr>
          <w:cantSplit/>
        </w:trPr>
        <w:tc>
          <w:tcPr>
            <w:tcW w:type="dxa" w:w="2376"/>
            <w:vAlign w:val="center"/>
          </w:tcPr>
          <w:p>
            <w:pPr>
              <w:spacing w:after="0" w:before="0" w:line="240" w:lineRule="auto"/>
              <w:jc w:val="left"/>
            </w:pPr>
            <w:r/>
            <w:r>
              <w:rPr>
                <w:rFonts w:ascii="Cambria" w:hAnsi="Cambria"/>
                <w:b/>
                <w:i w:val="0"/>
                <w:color w:val="000000"/>
                <w:sz w:val="18"/>
              </w:rPr>
              <w:t>Users</w:t>
            </w:r>
          </w:p>
        </w:tc>
        <w:tc>
          <w:tcPr>
            <w:tcW w:type="dxa" w:w="6912"/>
            <w:vAlign w:val="center"/>
          </w:tcPr>
          <w:p>
            <w:pPr>
              <w:spacing w:after="0" w:before="0" w:line="240" w:lineRule="auto"/>
              <w:jc w:val="left"/>
            </w:pPr>
            <w:r/>
            <w:r>
              <w:rPr>
                <w:rFonts w:ascii="Cambria" w:hAnsi="Cambria"/>
                <w:b w:val="0"/>
                <w:i w:val="0"/>
                <w:color w:val="000000"/>
                <w:sz w:val="18"/>
              </w:rPr>
              <w:t>Use only current approved information, complete records accurately and report outdated, missing or inaccessible information.</w:t>
            </w:r>
          </w:p>
        </w:tc>
      </w:tr>
      <w:tr>
        <w:trPr>
          <w:cantSplit/>
        </w:trPr>
        <w:tc>
          <w:tcPr>
            <w:tcW w:type="dxa" w:w="2376"/>
            <w:vAlign w:val="center"/>
          </w:tcPr>
          <w:p>
            <w:pPr>
              <w:spacing w:after="0" w:before="0" w:line="240" w:lineRule="auto"/>
              <w:jc w:val="left"/>
            </w:pPr>
            <w:r/>
            <w:r>
              <w:rPr>
                <w:rFonts w:ascii="Cambria" w:hAnsi="Cambria"/>
                <w:b/>
                <w:i w:val="0"/>
                <w:color w:val="000000"/>
                <w:sz w:val="18"/>
              </w:rPr>
              <w:t>IT / System Administrator</w:t>
            </w:r>
          </w:p>
        </w:tc>
        <w:tc>
          <w:tcPr>
            <w:tcW w:type="dxa" w:w="6912"/>
            <w:vAlign w:val="center"/>
          </w:tcPr>
          <w:p>
            <w:pPr>
              <w:spacing w:after="0" w:before="0" w:line="240" w:lineRule="auto"/>
              <w:jc w:val="left"/>
            </w:pPr>
            <w:r/>
            <w:r>
              <w:rPr>
                <w:rFonts w:ascii="Cambria" w:hAnsi="Cambria"/>
                <w:b w:val="0"/>
                <w:i w:val="0"/>
                <w:color w:val="000000"/>
                <w:sz w:val="18"/>
              </w:rPr>
              <w:t>Maintains access control, backup, recovery and availability for electronic repositories where assigned.</w:t>
            </w:r>
          </w:p>
        </w:tc>
      </w:tr>
    </w:tbl>
    <w:p>
      <w:pPr>
        <w:pStyle w:val="Heading1"/>
        <w:keepNext/>
      </w:pPr>
      <w:r>
        <w:t>4. Procedure</w:t>
      </w:r>
    </w:p>
    <w:tbl>
      <w:tblPr>
        <w:tblStyle w:val="TableGrid"/>
        <w:tblW w:type="auto" w:w="0"/>
        <w:jc w:val="center"/>
        <w:tblLayout w:type="fixed"/>
        <w:tblLook w:val="04A0"/>
      </w:tblPr>
      <w:tblGrid>
        <w:gridCol w:w="2339"/>
        <w:gridCol w:w="2339"/>
        <w:gridCol w:w="2339"/>
        <w:gridCol w:w="2339"/>
      </w:tblGrid>
      <w:tr>
        <w:trPr>
          <w:cantSplit/>
          <w:tblHeader w:val="true"/>
        </w:trPr>
        <w:tc>
          <w:tcPr>
            <w:tcW w:type="dxa" w:w="648"/>
            <w:vAlign w:val="center"/>
            <w:shd w:fill="D9EAF7" w:val="clear"/>
          </w:tcPr>
          <w:p>
            <w:pPr>
              <w:spacing w:after="0" w:before="0" w:line="240" w:lineRule="auto"/>
              <w:jc w:val="center"/>
            </w:pPr>
            <w:r/>
            <w:r>
              <w:rPr>
                <w:rFonts w:ascii="Cambria" w:hAnsi="Cambria"/>
                <w:b/>
                <w:i w:val="0"/>
                <w:color w:val="000000"/>
                <w:sz w:val="16"/>
              </w:rPr>
              <w:t>Step</w:t>
            </w:r>
          </w:p>
        </w:tc>
        <w:tc>
          <w:tcPr>
            <w:tcW w:type="dxa" w:w="1800"/>
            <w:vAlign w:val="center"/>
            <w:shd w:fill="D9EAF7" w:val="clear"/>
          </w:tcPr>
          <w:p>
            <w:pPr>
              <w:spacing w:after="0" w:before="0" w:line="240" w:lineRule="auto"/>
              <w:jc w:val="center"/>
            </w:pPr>
            <w:r/>
            <w:r>
              <w:rPr>
                <w:rFonts w:ascii="Cambria" w:hAnsi="Cambria"/>
                <w:b/>
                <w:i w:val="0"/>
                <w:color w:val="000000"/>
                <w:sz w:val="16"/>
              </w:rPr>
              <w:t>Responsible</w:t>
            </w:r>
          </w:p>
        </w:tc>
        <w:tc>
          <w:tcPr>
            <w:tcW w:type="dxa" w:w="4680"/>
            <w:vAlign w:val="center"/>
            <w:shd w:fill="D9EAF7" w:val="clear"/>
          </w:tcPr>
          <w:p>
            <w:pPr>
              <w:spacing w:after="0" w:before="0" w:line="240" w:lineRule="auto"/>
              <w:jc w:val="center"/>
            </w:pPr>
            <w:r/>
            <w:r>
              <w:rPr>
                <w:rFonts w:ascii="Cambria" w:hAnsi="Cambria"/>
                <w:b/>
                <w:i w:val="0"/>
                <w:color w:val="000000"/>
                <w:sz w:val="16"/>
              </w:rPr>
              <w:t>Activity</w:t>
            </w:r>
          </w:p>
        </w:tc>
        <w:tc>
          <w:tcPr>
            <w:tcW w:type="dxa" w:w="2160"/>
            <w:vAlign w:val="center"/>
            <w:shd w:fill="D9EAF7" w:val="clear"/>
          </w:tcPr>
          <w:p>
            <w:pPr>
              <w:spacing w:after="0" w:before="0" w:line="240" w:lineRule="auto"/>
              <w:jc w:val="center"/>
            </w:pPr>
            <w:r/>
            <w:r>
              <w:rPr>
                <w:rFonts w:ascii="Cambria" w:hAnsi="Cambria"/>
                <w:b/>
                <w:i w:val="0"/>
                <w:color w:val="000000"/>
                <w:sz w:val="16"/>
              </w:rPr>
              <w:t>Required Output / Record</w:t>
            </w:r>
          </w:p>
        </w:tc>
      </w:tr>
      <w:tr>
        <w:trPr>
          <w:cantSplit/>
        </w:trPr>
        <w:tc>
          <w:tcPr>
            <w:tcW w:type="dxa" w:w="648"/>
            <w:vAlign w:val="center"/>
          </w:tcPr>
          <w:p>
            <w:pPr>
              <w:spacing w:after="0" w:before="0" w:line="240" w:lineRule="auto"/>
              <w:jc w:val="left"/>
            </w:pPr>
            <w:r/>
            <w:r>
              <w:rPr>
                <w:rFonts w:ascii="Cambria" w:hAnsi="Cambria"/>
                <w:b w:val="0"/>
                <w:i w:val="0"/>
                <w:color w:val="000000"/>
                <w:sz w:val="16"/>
              </w:rPr>
              <w:t>1</w:t>
            </w:r>
          </w:p>
        </w:tc>
        <w:tc>
          <w:tcPr>
            <w:tcW w:type="dxa" w:w="1800"/>
            <w:vAlign w:val="center"/>
          </w:tcPr>
          <w:p>
            <w:pPr>
              <w:spacing w:after="0" w:before="0" w:line="240" w:lineRule="auto"/>
              <w:jc w:val="left"/>
            </w:pPr>
            <w:r/>
            <w:r>
              <w:rPr>
                <w:rFonts w:ascii="Cambria" w:hAnsi="Cambria"/>
                <w:b w:val="0"/>
                <w:i w:val="0"/>
                <w:color w:val="000000"/>
                <w:sz w:val="16"/>
              </w:rPr>
              <w:t>Document / Process Owner</w:t>
            </w:r>
          </w:p>
        </w:tc>
        <w:tc>
          <w:tcPr>
            <w:tcW w:type="dxa" w:w="4680"/>
            <w:vAlign w:val="center"/>
          </w:tcPr>
          <w:p>
            <w:pPr>
              <w:spacing w:after="0" w:before="0" w:line="240" w:lineRule="auto"/>
              <w:jc w:val="left"/>
            </w:pPr>
            <w:r/>
            <w:r>
              <w:rPr>
                <w:rFonts w:ascii="Cambria" w:hAnsi="Cambria"/>
                <w:b w:val="0"/>
                <w:i w:val="0"/>
                <w:color w:val="000000"/>
                <w:sz w:val="16"/>
              </w:rPr>
              <w:t>Determine what documented information is necessary to operate the process, control food safety hazards, meet applicable requirements and provide objective evidence.</w:t>
            </w:r>
          </w:p>
        </w:tc>
        <w:tc>
          <w:tcPr>
            <w:tcW w:type="dxa" w:w="2160"/>
            <w:vAlign w:val="center"/>
          </w:tcPr>
          <w:p>
            <w:pPr>
              <w:spacing w:after="0" w:before="0" w:line="240" w:lineRule="auto"/>
              <w:jc w:val="left"/>
            </w:pPr>
            <w:r/>
            <w:r>
              <w:rPr>
                <w:rFonts w:ascii="Cambria" w:hAnsi="Cambria"/>
                <w:b w:val="0"/>
                <w:i w:val="0"/>
                <w:color w:val="000000"/>
                <w:sz w:val="16"/>
              </w:rPr>
              <w:t>Document need defined; document type and owner assigned.</w:t>
            </w:r>
          </w:p>
        </w:tc>
      </w:tr>
      <w:tr>
        <w:trPr>
          <w:cantSplit/>
        </w:trPr>
        <w:tc>
          <w:tcPr>
            <w:tcW w:type="dxa" w:w="648"/>
            <w:vAlign w:val="center"/>
          </w:tcPr>
          <w:p>
            <w:pPr>
              <w:spacing w:after="0" w:before="0" w:line="240" w:lineRule="auto"/>
              <w:jc w:val="left"/>
            </w:pPr>
            <w:r/>
            <w:r>
              <w:rPr>
                <w:rFonts w:ascii="Cambria" w:hAnsi="Cambria"/>
                <w:b w:val="0"/>
                <w:i w:val="0"/>
                <w:color w:val="000000"/>
                <w:sz w:val="16"/>
              </w:rPr>
              <w:t>2</w:t>
            </w:r>
          </w:p>
        </w:tc>
        <w:tc>
          <w:tcPr>
            <w:tcW w:type="dxa" w:w="1800"/>
            <w:vAlign w:val="center"/>
          </w:tcPr>
          <w:p>
            <w:pPr>
              <w:spacing w:after="0" w:before="0" w:line="240" w:lineRule="auto"/>
              <w:jc w:val="left"/>
            </w:pPr>
            <w:r/>
            <w:r>
              <w:rPr>
                <w:rFonts w:ascii="Cambria" w:hAnsi="Cambria"/>
                <w:b w:val="0"/>
                <w:i w:val="0"/>
                <w:color w:val="000000"/>
                <w:sz w:val="16"/>
              </w:rPr>
              <w:t>Document / Process Owner</w:t>
            </w:r>
          </w:p>
        </w:tc>
        <w:tc>
          <w:tcPr>
            <w:tcW w:type="dxa" w:w="4680"/>
            <w:vAlign w:val="center"/>
          </w:tcPr>
          <w:p>
            <w:pPr>
              <w:spacing w:after="0" w:before="0" w:line="240" w:lineRule="auto"/>
              <w:jc w:val="left"/>
            </w:pPr>
            <w:r/>
            <w:r>
              <w:rPr>
                <w:rFonts w:ascii="Cambria" w:hAnsi="Cambria"/>
                <w:b w:val="0"/>
                <w:i w:val="0"/>
                <w:color w:val="000000"/>
                <w:sz w:val="16"/>
              </w:rPr>
              <w:t>Create or revise the document using the approved template. Assign a clear title, unique code, version, owner, approval authority and classification. Identify relevant forms or records.</w:t>
            </w:r>
          </w:p>
        </w:tc>
        <w:tc>
          <w:tcPr>
            <w:tcW w:type="dxa" w:w="2160"/>
            <w:vAlign w:val="center"/>
          </w:tcPr>
          <w:p>
            <w:pPr>
              <w:spacing w:after="0" w:before="0" w:line="240" w:lineRule="auto"/>
              <w:jc w:val="left"/>
            </w:pPr>
            <w:r/>
            <w:r>
              <w:rPr>
                <w:rFonts w:ascii="Cambria" w:hAnsi="Cambria"/>
                <w:b w:val="0"/>
                <w:i w:val="0"/>
                <w:color w:val="000000"/>
                <w:sz w:val="16"/>
              </w:rPr>
              <w:t>Draft document with complete identification.</w:t>
            </w:r>
          </w:p>
        </w:tc>
      </w:tr>
      <w:tr>
        <w:trPr>
          <w:cantSplit/>
        </w:trPr>
        <w:tc>
          <w:tcPr>
            <w:tcW w:type="dxa" w:w="648"/>
            <w:vAlign w:val="center"/>
          </w:tcPr>
          <w:p>
            <w:pPr>
              <w:spacing w:after="0" w:before="0" w:line="240" w:lineRule="auto"/>
              <w:jc w:val="left"/>
            </w:pPr>
            <w:r/>
            <w:r>
              <w:rPr>
                <w:rFonts w:ascii="Cambria" w:hAnsi="Cambria"/>
                <w:b w:val="0"/>
                <w:i w:val="0"/>
                <w:color w:val="000000"/>
                <w:sz w:val="16"/>
              </w:rPr>
              <w:t>3</w:t>
            </w:r>
          </w:p>
        </w:tc>
        <w:tc>
          <w:tcPr>
            <w:tcW w:type="dxa" w:w="1800"/>
            <w:vAlign w:val="center"/>
          </w:tcPr>
          <w:p>
            <w:pPr>
              <w:spacing w:after="0" w:before="0" w:line="240" w:lineRule="auto"/>
              <w:jc w:val="left"/>
            </w:pPr>
            <w:r/>
            <w:r>
              <w:rPr>
                <w:rFonts w:ascii="Cambria" w:hAnsi="Cambria"/>
                <w:b w:val="0"/>
                <w:i w:val="0"/>
                <w:color w:val="000000"/>
                <w:sz w:val="16"/>
              </w:rPr>
              <w:t>Technical Reviewer / Food Safety Team</w:t>
            </w:r>
          </w:p>
        </w:tc>
        <w:tc>
          <w:tcPr>
            <w:tcW w:type="dxa" w:w="4680"/>
            <w:vAlign w:val="center"/>
          </w:tcPr>
          <w:p>
            <w:pPr>
              <w:spacing w:after="0" w:before="0" w:line="240" w:lineRule="auto"/>
              <w:jc w:val="left"/>
            </w:pPr>
            <w:r/>
            <w:r>
              <w:rPr>
                <w:rFonts w:ascii="Cambria" w:hAnsi="Cambria"/>
                <w:b w:val="0"/>
                <w:i w:val="0"/>
                <w:color w:val="000000"/>
                <w:sz w:val="16"/>
              </w:rPr>
              <w:t>Review technical accuracy, operational usability and consistency with applicable food safety controls. Assess whether the change affects hazards, PRPs, OPRPs, CCPs, traceability, emergency response, customer requirements or legal obligations.</w:t>
            </w:r>
          </w:p>
        </w:tc>
        <w:tc>
          <w:tcPr>
            <w:tcW w:type="dxa" w:w="2160"/>
            <w:vAlign w:val="center"/>
          </w:tcPr>
          <w:p>
            <w:pPr>
              <w:spacing w:after="0" w:before="0" w:line="240" w:lineRule="auto"/>
              <w:jc w:val="left"/>
            </w:pPr>
            <w:r/>
            <w:r>
              <w:rPr>
                <w:rFonts w:ascii="Cambria" w:hAnsi="Cambria"/>
                <w:b w:val="0"/>
                <w:i w:val="0"/>
                <w:color w:val="000000"/>
                <w:sz w:val="16"/>
              </w:rPr>
              <w:t>Review comments resolved; impact assessment completed when relevant.</w:t>
            </w:r>
          </w:p>
        </w:tc>
      </w:tr>
      <w:tr>
        <w:trPr>
          <w:cantSplit/>
        </w:trPr>
        <w:tc>
          <w:tcPr>
            <w:tcW w:type="dxa" w:w="648"/>
            <w:vAlign w:val="center"/>
          </w:tcPr>
          <w:p>
            <w:pPr>
              <w:spacing w:after="0" w:before="0" w:line="240" w:lineRule="auto"/>
              <w:jc w:val="left"/>
            </w:pPr>
            <w:r/>
            <w:r>
              <w:rPr>
                <w:rFonts w:ascii="Cambria" w:hAnsi="Cambria"/>
                <w:b w:val="0"/>
                <w:i w:val="0"/>
                <w:color w:val="000000"/>
                <w:sz w:val="16"/>
              </w:rPr>
              <w:t>4</w:t>
            </w:r>
          </w:p>
        </w:tc>
        <w:tc>
          <w:tcPr>
            <w:tcW w:type="dxa" w:w="1800"/>
            <w:vAlign w:val="center"/>
          </w:tcPr>
          <w:p>
            <w:pPr>
              <w:spacing w:after="0" w:before="0" w:line="240" w:lineRule="auto"/>
              <w:jc w:val="left"/>
            </w:pPr>
            <w:r/>
            <w:r>
              <w:rPr>
                <w:rFonts w:ascii="Cambria" w:hAnsi="Cambria"/>
                <w:b w:val="0"/>
                <w:i w:val="0"/>
                <w:color w:val="000000"/>
                <w:sz w:val="16"/>
              </w:rPr>
              <w:t>Approver</w:t>
            </w:r>
          </w:p>
        </w:tc>
        <w:tc>
          <w:tcPr>
            <w:tcW w:type="dxa" w:w="4680"/>
            <w:vAlign w:val="center"/>
          </w:tcPr>
          <w:p>
            <w:pPr>
              <w:spacing w:after="0" w:before="0" w:line="240" w:lineRule="auto"/>
              <w:jc w:val="left"/>
            </w:pPr>
            <w:r/>
            <w:r>
              <w:rPr>
                <w:rFonts w:ascii="Cambria" w:hAnsi="Cambria"/>
                <w:b w:val="0"/>
                <w:i w:val="0"/>
                <w:color w:val="000000"/>
                <w:sz w:val="16"/>
              </w:rPr>
              <w:t>Approve the document before release. Approval may be electronic when the system preserves approver identity, date and approved version.</w:t>
            </w:r>
          </w:p>
        </w:tc>
        <w:tc>
          <w:tcPr>
            <w:tcW w:type="dxa" w:w="2160"/>
            <w:vAlign w:val="center"/>
          </w:tcPr>
          <w:p>
            <w:pPr>
              <w:spacing w:after="0" w:before="0" w:line="240" w:lineRule="auto"/>
              <w:jc w:val="left"/>
            </w:pPr>
            <w:r/>
            <w:r>
              <w:rPr>
                <w:rFonts w:ascii="Cambria" w:hAnsi="Cambria"/>
                <w:b w:val="0"/>
                <w:i w:val="0"/>
                <w:color w:val="000000"/>
                <w:sz w:val="16"/>
              </w:rPr>
              <w:t>Approval evidence.</w:t>
            </w:r>
          </w:p>
        </w:tc>
      </w:tr>
      <w:tr>
        <w:trPr>
          <w:cantSplit/>
        </w:trPr>
        <w:tc>
          <w:tcPr>
            <w:tcW w:type="dxa" w:w="648"/>
            <w:vAlign w:val="center"/>
          </w:tcPr>
          <w:p>
            <w:pPr>
              <w:spacing w:after="0" w:before="0" w:line="240" w:lineRule="auto"/>
              <w:jc w:val="left"/>
            </w:pPr>
            <w:r/>
            <w:r>
              <w:rPr>
                <w:rFonts w:ascii="Cambria" w:hAnsi="Cambria"/>
                <w:b w:val="0"/>
                <w:i w:val="0"/>
                <w:color w:val="000000"/>
                <w:sz w:val="16"/>
              </w:rPr>
              <w:t>5</w:t>
            </w:r>
          </w:p>
        </w:tc>
        <w:tc>
          <w:tcPr>
            <w:tcW w:type="dxa" w:w="1800"/>
            <w:vAlign w:val="center"/>
          </w:tcPr>
          <w:p>
            <w:pPr>
              <w:spacing w:after="0" w:before="0" w:line="240" w:lineRule="auto"/>
              <w:jc w:val="left"/>
            </w:pPr>
            <w:r/>
            <w:r>
              <w:rPr>
                <w:rFonts w:ascii="Cambria" w:hAnsi="Cambria"/>
                <w:b w:val="0"/>
                <w:i w:val="0"/>
                <w:color w:val="000000"/>
                <w:sz w:val="16"/>
              </w:rPr>
              <w:t>Document Controller</w:t>
            </w:r>
          </w:p>
        </w:tc>
        <w:tc>
          <w:tcPr>
            <w:tcW w:type="dxa" w:w="4680"/>
            <w:vAlign w:val="center"/>
          </w:tcPr>
          <w:p>
            <w:pPr>
              <w:spacing w:after="0" w:before="0" w:line="240" w:lineRule="auto"/>
              <w:jc w:val="left"/>
            </w:pPr>
            <w:r/>
            <w:r>
              <w:rPr>
                <w:rFonts w:ascii="Cambria" w:hAnsi="Cambria"/>
                <w:b w:val="0"/>
                <w:i w:val="0"/>
                <w:color w:val="000000"/>
                <w:sz w:val="16"/>
              </w:rPr>
              <w:t>Release the approved version to the controlled repository; update the master register; remove or restrict superseded versions from normal points of use.</w:t>
            </w:r>
          </w:p>
        </w:tc>
        <w:tc>
          <w:tcPr>
            <w:tcW w:type="dxa" w:w="2160"/>
            <w:vAlign w:val="center"/>
          </w:tcPr>
          <w:p>
            <w:pPr>
              <w:spacing w:after="0" w:before="0" w:line="240" w:lineRule="auto"/>
              <w:jc w:val="left"/>
            </w:pPr>
            <w:r/>
            <w:r>
              <w:rPr>
                <w:rFonts w:ascii="Cambria" w:hAnsi="Cambria"/>
                <w:b w:val="0"/>
                <w:i w:val="0"/>
                <w:color w:val="000000"/>
                <w:sz w:val="16"/>
              </w:rPr>
              <w:t>Current version published; register updated.</w:t>
            </w:r>
          </w:p>
        </w:tc>
      </w:tr>
      <w:tr>
        <w:trPr>
          <w:cantSplit/>
        </w:trPr>
        <w:tc>
          <w:tcPr>
            <w:tcW w:type="dxa" w:w="648"/>
            <w:vAlign w:val="center"/>
          </w:tcPr>
          <w:p>
            <w:pPr>
              <w:spacing w:after="0" w:before="0" w:line="240" w:lineRule="auto"/>
              <w:jc w:val="left"/>
            </w:pPr>
            <w:r/>
            <w:r>
              <w:rPr>
                <w:rFonts w:ascii="Cambria" w:hAnsi="Cambria"/>
                <w:b w:val="0"/>
                <w:i w:val="0"/>
                <w:color w:val="000000"/>
                <w:sz w:val="16"/>
              </w:rPr>
              <w:t>6</w:t>
            </w:r>
          </w:p>
        </w:tc>
        <w:tc>
          <w:tcPr>
            <w:tcW w:type="dxa" w:w="1800"/>
            <w:vAlign w:val="center"/>
          </w:tcPr>
          <w:p>
            <w:pPr>
              <w:spacing w:after="0" w:before="0" w:line="240" w:lineRule="auto"/>
              <w:jc w:val="left"/>
            </w:pPr>
            <w:r/>
            <w:r>
              <w:rPr>
                <w:rFonts w:ascii="Cambria" w:hAnsi="Cambria"/>
                <w:b w:val="0"/>
                <w:i w:val="0"/>
                <w:color w:val="000000"/>
                <w:sz w:val="16"/>
              </w:rPr>
              <w:t>Process Owner / Supervisor</w:t>
            </w:r>
          </w:p>
        </w:tc>
        <w:tc>
          <w:tcPr>
            <w:tcW w:type="dxa" w:w="4680"/>
            <w:vAlign w:val="center"/>
          </w:tcPr>
          <w:p>
            <w:pPr>
              <w:spacing w:after="0" w:before="0" w:line="240" w:lineRule="auto"/>
              <w:jc w:val="left"/>
            </w:pPr>
            <w:r/>
            <w:r>
              <w:rPr>
                <w:rFonts w:ascii="Cambria" w:hAnsi="Cambria"/>
                <w:b w:val="0"/>
                <w:i w:val="0"/>
                <w:color w:val="000000"/>
                <w:sz w:val="16"/>
              </w:rPr>
              <w:t>Ensure current information is available at the point of use and communicated to affected personnel. Provide training or briefing when a change affects food safety tasks or decision criteria.</w:t>
            </w:r>
          </w:p>
        </w:tc>
        <w:tc>
          <w:tcPr>
            <w:tcW w:type="dxa" w:w="2160"/>
            <w:vAlign w:val="center"/>
          </w:tcPr>
          <w:p>
            <w:pPr>
              <w:spacing w:after="0" w:before="0" w:line="240" w:lineRule="auto"/>
              <w:jc w:val="left"/>
            </w:pPr>
            <w:r/>
            <w:r>
              <w:rPr>
                <w:rFonts w:ascii="Cambria" w:hAnsi="Cambria"/>
                <w:b w:val="0"/>
                <w:i w:val="0"/>
                <w:color w:val="000000"/>
                <w:sz w:val="16"/>
              </w:rPr>
              <w:t>Distribution / communication / training evidence as applicable.</w:t>
            </w:r>
          </w:p>
        </w:tc>
      </w:tr>
      <w:tr>
        <w:trPr>
          <w:cantSplit/>
        </w:trPr>
        <w:tc>
          <w:tcPr>
            <w:tcW w:type="dxa" w:w="648"/>
            <w:vAlign w:val="center"/>
          </w:tcPr>
          <w:p>
            <w:pPr>
              <w:spacing w:after="0" w:before="0" w:line="240" w:lineRule="auto"/>
              <w:jc w:val="left"/>
            </w:pPr>
            <w:r/>
            <w:r>
              <w:rPr>
                <w:rFonts w:ascii="Cambria" w:hAnsi="Cambria"/>
                <w:b w:val="0"/>
                <w:i w:val="0"/>
                <w:color w:val="000000"/>
                <w:sz w:val="16"/>
              </w:rPr>
              <w:t>7</w:t>
            </w:r>
          </w:p>
        </w:tc>
        <w:tc>
          <w:tcPr>
            <w:tcW w:type="dxa" w:w="1800"/>
            <w:vAlign w:val="center"/>
          </w:tcPr>
          <w:p>
            <w:pPr>
              <w:spacing w:after="0" w:before="0" w:line="240" w:lineRule="auto"/>
              <w:jc w:val="left"/>
            </w:pPr>
            <w:r/>
            <w:r>
              <w:rPr>
                <w:rFonts w:ascii="Cambria" w:hAnsi="Cambria"/>
                <w:b w:val="0"/>
                <w:i w:val="0"/>
                <w:color w:val="000000"/>
                <w:sz w:val="16"/>
              </w:rPr>
              <w:t>All Users</w:t>
            </w:r>
          </w:p>
        </w:tc>
        <w:tc>
          <w:tcPr>
            <w:tcW w:type="dxa" w:w="4680"/>
            <w:vAlign w:val="center"/>
          </w:tcPr>
          <w:p>
            <w:pPr>
              <w:spacing w:after="0" w:before="0" w:line="240" w:lineRule="auto"/>
              <w:jc w:val="left"/>
            </w:pPr>
            <w:r/>
            <w:r>
              <w:rPr>
                <w:rFonts w:ascii="Cambria" w:hAnsi="Cambria"/>
                <w:b w:val="0"/>
                <w:i w:val="0"/>
                <w:color w:val="000000"/>
                <w:sz w:val="16"/>
              </w:rPr>
              <w:t>Create records at the time the activity is performed or as soon as practical thereafter. Entries must be legible, attributable and protected from unauthorized alteration.</w:t>
            </w:r>
          </w:p>
        </w:tc>
        <w:tc>
          <w:tcPr>
            <w:tcW w:type="dxa" w:w="2160"/>
            <w:vAlign w:val="center"/>
          </w:tcPr>
          <w:p>
            <w:pPr>
              <w:spacing w:after="0" w:before="0" w:line="240" w:lineRule="auto"/>
              <w:jc w:val="left"/>
            </w:pPr>
            <w:r/>
            <w:r>
              <w:rPr>
                <w:rFonts w:ascii="Cambria" w:hAnsi="Cambria"/>
                <w:b w:val="0"/>
                <w:i w:val="0"/>
                <w:color w:val="000000"/>
                <w:sz w:val="16"/>
              </w:rPr>
              <w:t>Complete and traceable records.</w:t>
            </w:r>
          </w:p>
        </w:tc>
      </w:tr>
      <w:tr>
        <w:trPr>
          <w:cantSplit/>
        </w:trPr>
        <w:tc>
          <w:tcPr>
            <w:tcW w:type="dxa" w:w="648"/>
            <w:vAlign w:val="center"/>
          </w:tcPr>
          <w:p>
            <w:pPr>
              <w:spacing w:after="0" w:before="0" w:line="240" w:lineRule="auto"/>
              <w:jc w:val="left"/>
            </w:pPr>
            <w:r/>
            <w:r>
              <w:rPr>
                <w:rFonts w:ascii="Cambria" w:hAnsi="Cambria"/>
                <w:b w:val="0"/>
                <w:i w:val="0"/>
                <w:color w:val="000000"/>
                <w:sz w:val="16"/>
              </w:rPr>
              <w:t>8</w:t>
            </w:r>
          </w:p>
        </w:tc>
        <w:tc>
          <w:tcPr>
            <w:tcW w:type="dxa" w:w="1800"/>
            <w:vAlign w:val="center"/>
          </w:tcPr>
          <w:p>
            <w:pPr>
              <w:spacing w:after="0" w:before="0" w:line="240" w:lineRule="auto"/>
              <w:jc w:val="left"/>
            </w:pPr>
            <w:r/>
            <w:r>
              <w:rPr>
                <w:rFonts w:ascii="Cambria" w:hAnsi="Cambria"/>
                <w:b w:val="0"/>
                <w:i w:val="0"/>
                <w:color w:val="000000"/>
                <w:sz w:val="16"/>
              </w:rPr>
              <w:t>Document Controller / IT</w:t>
            </w:r>
          </w:p>
        </w:tc>
        <w:tc>
          <w:tcPr>
            <w:tcW w:type="dxa" w:w="4680"/>
            <w:vAlign w:val="center"/>
          </w:tcPr>
          <w:p>
            <w:pPr>
              <w:spacing w:after="0" w:before="0" w:line="240" w:lineRule="auto"/>
              <w:jc w:val="left"/>
            </w:pPr>
            <w:r/>
            <w:r>
              <w:rPr>
                <w:rFonts w:ascii="Cambria" w:hAnsi="Cambria"/>
                <w:b w:val="0"/>
                <w:i w:val="0"/>
                <w:color w:val="000000"/>
                <w:sz w:val="16"/>
              </w:rPr>
              <w:t>Store and protect documents and records to prevent loss, deterioration, unauthorized access or unintended change. Apply backup and recovery arrangements for electronic information.</w:t>
            </w:r>
          </w:p>
        </w:tc>
        <w:tc>
          <w:tcPr>
            <w:tcW w:type="dxa" w:w="2160"/>
            <w:vAlign w:val="center"/>
          </w:tcPr>
          <w:p>
            <w:pPr>
              <w:spacing w:after="0" w:before="0" w:line="240" w:lineRule="auto"/>
              <w:jc w:val="left"/>
            </w:pPr>
            <w:r/>
            <w:r>
              <w:rPr>
                <w:rFonts w:ascii="Cambria" w:hAnsi="Cambria"/>
                <w:b w:val="0"/>
                <w:i w:val="0"/>
                <w:color w:val="000000"/>
                <w:sz w:val="16"/>
              </w:rPr>
              <w:t>Protected repository / backup evidence.</w:t>
            </w:r>
          </w:p>
        </w:tc>
      </w:tr>
      <w:tr>
        <w:trPr>
          <w:cantSplit/>
        </w:trPr>
        <w:tc>
          <w:tcPr>
            <w:tcW w:type="dxa" w:w="648"/>
            <w:vAlign w:val="center"/>
          </w:tcPr>
          <w:p>
            <w:pPr>
              <w:spacing w:after="0" w:before="0" w:line="240" w:lineRule="auto"/>
              <w:jc w:val="left"/>
            </w:pPr>
            <w:r/>
            <w:r>
              <w:rPr>
                <w:rFonts w:ascii="Cambria" w:hAnsi="Cambria"/>
                <w:b w:val="0"/>
                <w:i w:val="0"/>
                <w:color w:val="000000"/>
                <w:sz w:val="16"/>
              </w:rPr>
              <w:t>9</w:t>
            </w:r>
          </w:p>
        </w:tc>
        <w:tc>
          <w:tcPr>
            <w:tcW w:type="dxa" w:w="1800"/>
            <w:vAlign w:val="center"/>
          </w:tcPr>
          <w:p>
            <w:pPr>
              <w:spacing w:after="0" w:before="0" w:line="240" w:lineRule="auto"/>
              <w:jc w:val="left"/>
            </w:pPr>
            <w:r/>
            <w:r>
              <w:rPr>
                <w:rFonts w:ascii="Cambria" w:hAnsi="Cambria"/>
                <w:b w:val="0"/>
                <w:i w:val="0"/>
                <w:color w:val="000000"/>
                <w:sz w:val="16"/>
              </w:rPr>
              <w:t>Document / Process Owner</w:t>
            </w:r>
          </w:p>
        </w:tc>
        <w:tc>
          <w:tcPr>
            <w:tcW w:type="dxa" w:w="4680"/>
            <w:vAlign w:val="center"/>
          </w:tcPr>
          <w:p>
            <w:pPr>
              <w:spacing w:after="0" w:before="0" w:line="240" w:lineRule="auto"/>
              <w:jc w:val="left"/>
            </w:pPr>
            <w:r/>
            <w:r>
              <w:rPr>
                <w:rFonts w:ascii="Cambria" w:hAnsi="Cambria"/>
                <w:b w:val="0"/>
                <w:i w:val="0"/>
                <w:color w:val="000000"/>
                <w:sz w:val="16"/>
              </w:rPr>
              <w:t>Review controlled documents at the planned interval and when significant changes occur. Initiate revision if the document is no longer suitable, adequate or effective.</w:t>
            </w:r>
          </w:p>
        </w:tc>
        <w:tc>
          <w:tcPr>
            <w:tcW w:type="dxa" w:w="2160"/>
            <w:vAlign w:val="center"/>
          </w:tcPr>
          <w:p>
            <w:pPr>
              <w:spacing w:after="0" w:before="0" w:line="240" w:lineRule="auto"/>
              <w:jc w:val="left"/>
            </w:pPr>
            <w:r/>
            <w:r>
              <w:rPr>
                <w:rFonts w:ascii="Cambria" w:hAnsi="Cambria"/>
                <w:b w:val="0"/>
                <w:i w:val="0"/>
                <w:color w:val="000000"/>
                <w:sz w:val="16"/>
              </w:rPr>
              <w:t>Review evidence and revised document when required.</w:t>
            </w:r>
          </w:p>
        </w:tc>
      </w:tr>
      <w:tr>
        <w:trPr>
          <w:cantSplit/>
        </w:trPr>
        <w:tc>
          <w:tcPr>
            <w:tcW w:type="dxa" w:w="648"/>
            <w:vAlign w:val="center"/>
          </w:tcPr>
          <w:p>
            <w:pPr>
              <w:spacing w:after="0" w:before="0" w:line="240" w:lineRule="auto"/>
              <w:jc w:val="left"/>
            </w:pPr>
            <w:r/>
            <w:r>
              <w:rPr>
                <w:rFonts w:ascii="Cambria" w:hAnsi="Cambria"/>
                <w:b w:val="0"/>
                <w:i w:val="0"/>
                <w:color w:val="000000"/>
                <w:sz w:val="16"/>
              </w:rPr>
              <w:t>10</w:t>
            </w:r>
          </w:p>
        </w:tc>
        <w:tc>
          <w:tcPr>
            <w:tcW w:type="dxa" w:w="1800"/>
            <w:vAlign w:val="center"/>
          </w:tcPr>
          <w:p>
            <w:pPr>
              <w:spacing w:after="0" w:before="0" w:line="240" w:lineRule="auto"/>
              <w:jc w:val="left"/>
            </w:pPr>
            <w:r/>
            <w:r>
              <w:rPr>
                <w:rFonts w:ascii="Cambria" w:hAnsi="Cambria"/>
                <w:b w:val="0"/>
                <w:i w:val="0"/>
                <w:color w:val="000000"/>
                <w:sz w:val="16"/>
              </w:rPr>
              <w:t>Document Controller</w:t>
            </w:r>
          </w:p>
        </w:tc>
        <w:tc>
          <w:tcPr>
            <w:tcW w:type="dxa" w:w="4680"/>
            <w:vAlign w:val="center"/>
          </w:tcPr>
          <w:p>
            <w:pPr>
              <w:spacing w:after="0" w:before="0" w:line="240" w:lineRule="auto"/>
              <w:jc w:val="left"/>
            </w:pPr>
            <w:r/>
            <w:r>
              <w:rPr>
                <w:rFonts w:ascii="Cambria" w:hAnsi="Cambria"/>
                <w:b w:val="0"/>
                <w:i w:val="0"/>
                <w:color w:val="000000"/>
                <w:sz w:val="16"/>
              </w:rPr>
              <w:t>Retain records for the defined period and dispose of them securely after the retention period, subject to legal, customer, traceability, product-life and incident-investigation needs.</w:t>
            </w:r>
          </w:p>
        </w:tc>
        <w:tc>
          <w:tcPr>
            <w:tcW w:type="dxa" w:w="2160"/>
            <w:vAlign w:val="center"/>
          </w:tcPr>
          <w:p>
            <w:pPr>
              <w:spacing w:after="0" w:before="0" w:line="240" w:lineRule="auto"/>
              <w:jc w:val="left"/>
            </w:pPr>
            <w:r/>
            <w:r>
              <w:rPr>
                <w:rFonts w:ascii="Cambria" w:hAnsi="Cambria"/>
                <w:b w:val="0"/>
                <w:i w:val="0"/>
                <w:color w:val="000000"/>
                <w:sz w:val="16"/>
              </w:rPr>
              <w:t>Retention / disposal evidence.</w:t>
            </w:r>
          </w:p>
        </w:tc>
      </w:tr>
    </w:tbl>
    <w:p>
      <w:pPr>
        <w:pStyle w:val="Heading2"/>
        <w:keepNext/>
      </w:pPr>
      <w:r>
        <w:t>4.1 Minimum Document Identification</w:t>
      </w:r>
    </w:p>
    <w:tbl>
      <w:tblPr>
        <w:tblStyle w:val="TableGrid"/>
        <w:tblW w:type="auto" w:w="0"/>
        <w:jc w:val="center"/>
        <w:tblLayout w:type="fixed"/>
        <w:tblLook w:val="04A0"/>
      </w:tblPr>
      <w:tblGrid>
        <w:gridCol w:w="4677"/>
        <w:gridCol w:w="4677"/>
      </w:tblGrid>
      <w:tr>
        <w:trPr>
          <w:cantSplit/>
          <w:tblHeader w:val="true"/>
        </w:trPr>
        <w:tc>
          <w:tcPr>
            <w:tcW w:type="dxa" w:w="2232"/>
            <w:vAlign w:val="center"/>
            <w:shd w:fill="D9EAF7" w:val="clear"/>
          </w:tcPr>
          <w:p>
            <w:pPr>
              <w:spacing w:after="0" w:before="0" w:line="240" w:lineRule="auto"/>
              <w:jc w:val="center"/>
            </w:pPr>
            <w:r/>
            <w:r>
              <w:rPr>
                <w:rFonts w:ascii="Cambria" w:hAnsi="Cambria"/>
                <w:b/>
                <w:i w:val="0"/>
                <w:color w:val="000000"/>
                <w:sz w:val="18"/>
              </w:rPr>
              <w:t>Control Field</w:t>
            </w:r>
          </w:p>
        </w:tc>
        <w:tc>
          <w:tcPr>
            <w:tcW w:type="dxa" w:w="7056"/>
            <w:vAlign w:val="center"/>
            <w:shd w:fill="D9EAF7" w:val="clear"/>
          </w:tcPr>
          <w:p>
            <w:pPr>
              <w:spacing w:after="0" w:before="0" w:line="240" w:lineRule="auto"/>
              <w:jc w:val="center"/>
            </w:pPr>
            <w:r/>
            <w:r>
              <w:rPr>
                <w:rFonts w:ascii="Cambria" w:hAnsi="Cambria"/>
                <w:b/>
                <w:i w:val="0"/>
                <w:color w:val="000000"/>
                <w:sz w:val="18"/>
              </w:rPr>
              <w:t>Minimum Expectation</w:t>
            </w:r>
          </w:p>
        </w:tc>
      </w:tr>
      <w:tr>
        <w:trPr>
          <w:cantSplit/>
        </w:trPr>
        <w:tc>
          <w:tcPr>
            <w:tcW w:type="dxa" w:w="2232"/>
            <w:vAlign w:val="center"/>
          </w:tcPr>
          <w:p>
            <w:pPr>
              <w:spacing w:after="0" w:before="0" w:line="240" w:lineRule="auto"/>
              <w:jc w:val="left"/>
            </w:pPr>
            <w:r/>
            <w:r>
              <w:rPr>
                <w:rFonts w:ascii="Cambria" w:hAnsi="Cambria"/>
                <w:b/>
                <w:i w:val="0"/>
                <w:color w:val="000000"/>
                <w:sz w:val="18"/>
              </w:rPr>
              <w:t>Title</w:t>
            </w:r>
          </w:p>
        </w:tc>
        <w:tc>
          <w:tcPr>
            <w:tcW w:type="dxa" w:w="7056"/>
            <w:vAlign w:val="center"/>
          </w:tcPr>
          <w:p>
            <w:pPr>
              <w:spacing w:after="0" w:before="0" w:line="240" w:lineRule="auto"/>
              <w:jc w:val="left"/>
            </w:pPr>
            <w:r/>
            <w:r>
              <w:rPr>
                <w:rFonts w:ascii="Cambria" w:hAnsi="Cambria"/>
                <w:b w:val="0"/>
                <w:i w:val="0"/>
                <w:color w:val="000000"/>
                <w:sz w:val="18"/>
              </w:rPr>
              <w:t>Clear description of the document purpose.</w:t>
            </w:r>
          </w:p>
        </w:tc>
      </w:tr>
      <w:tr>
        <w:trPr>
          <w:cantSplit/>
        </w:trPr>
        <w:tc>
          <w:tcPr>
            <w:tcW w:type="dxa" w:w="2232"/>
            <w:vAlign w:val="center"/>
          </w:tcPr>
          <w:p>
            <w:pPr>
              <w:spacing w:after="0" w:before="0" w:line="240" w:lineRule="auto"/>
              <w:jc w:val="left"/>
            </w:pPr>
            <w:r/>
            <w:r>
              <w:rPr>
                <w:rFonts w:ascii="Cambria" w:hAnsi="Cambria"/>
                <w:b/>
                <w:i w:val="0"/>
                <w:color w:val="000000"/>
                <w:sz w:val="18"/>
              </w:rPr>
              <w:t>Document Code</w:t>
            </w:r>
          </w:p>
        </w:tc>
        <w:tc>
          <w:tcPr>
            <w:tcW w:type="dxa" w:w="7056"/>
            <w:vAlign w:val="center"/>
          </w:tcPr>
          <w:p>
            <w:pPr>
              <w:spacing w:after="0" w:before="0" w:line="240" w:lineRule="auto"/>
              <w:jc w:val="left"/>
            </w:pPr>
            <w:r/>
            <w:r>
              <w:rPr>
                <w:rFonts w:ascii="Cambria" w:hAnsi="Cambria"/>
                <w:b w:val="0"/>
                <w:i w:val="0"/>
                <w:color w:val="000000"/>
                <w:sz w:val="18"/>
              </w:rPr>
              <w:t>Unique identifier within the FSMS document architecture.</w:t>
            </w:r>
          </w:p>
        </w:tc>
      </w:tr>
      <w:tr>
        <w:trPr>
          <w:cantSplit/>
        </w:trPr>
        <w:tc>
          <w:tcPr>
            <w:tcW w:type="dxa" w:w="2232"/>
            <w:vAlign w:val="center"/>
          </w:tcPr>
          <w:p>
            <w:pPr>
              <w:spacing w:after="0" w:before="0" w:line="240" w:lineRule="auto"/>
              <w:jc w:val="left"/>
            </w:pPr>
            <w:r/>
            <w:r>
              <w:rPr>
                <w:rFonts w:ascii="Cambria" w:hAnsi="Cambria"/>
                <w:b/>
                <w:i w:val="0"/>
                <w:color w:val="000000"/>
                <w:sz w:val="18"/>
              </w:rPr>
              <w:t>Version / Revision</w:t>
            </w:r>
          </w:p>
        </w:tc>
        <w:tc>
          <w:tcPr>
            <w:tcW w:type="dxa" w:w="7056"/>
            <w:vAlign w:val="center"/>
          </w:tcPr>
          <w:p>
            <w:pPr>
              <w:spacing w:after="0" w:before="0" w:line="240" w:lineRule="auto"/>
              <w:jc w:val="left"/>
            </w:pPr>
            <w:r/>
            <w:r>
              <w:rPr>
                <w:rFonts w:ascii="Cambria" w:hAnsi="Cambria"/>
                <w:b w:val="0"/>
                <w:i w:val="0"/>
                <w:color w:val="000000"/>
                <w:sz w:val="18"/>
              </w:rPr>
              <w:t>Changes with every controlled revision.</w:t>
            </w:r>
          </w:p>
        </w:tc>
      </w:tr>
      <w:tr>
        <w:trPr>
          <w:cantSplit/>
        </w:trPr>
        <w:tc>
          <w:tcPr>
            <w:tcW w:type="dxa" w:w="2232"/>
            <w:vAlign w:val="center"/>
          </w:tcPr>
          <w:p>
            <w:pPr>
              <w:spacing w:after="0" w:before="0" w:line="240" w:lineRule="auto"/>
              <w:jc w:val="left"/>
            </w:pPr>
            <w:r/>
            <w:r>
              <w:rPr>
                <w:rFonts w:ascii="Cambria" w:hAnsi="Cambria"/>
                <w:b/>
                <w:i w:val="0"/>
                <w:color w:val="000000"/>
                <w:sz w:val="18"/>
              </w:rPr>
              <w:t>Effective Date</w:t>
            </w:r>
          </w:p>
        </w:tc>
        <w:tc>
          <w:tcPr>
            <w:tcW w:type="dxa" w:w="7056"/>
            <w:vAlign w:val="center"/>
          </w:tcPr>
          <w:p>
            <w:pPr>
              <w:spacing w:after="0" w:before="0" w:line="240" w:lineRule="auto"/>
              <w:jc w:val="left"/>
            </w:pPr>
            <w:r/>
            <w:r>
              <w:rPr>
                <w:rFonts w:ascii="Cambria" w:hAnsi="Cambria"/>
                <w:b w:val="0"/>
                <w:i w:val="0"/>
                <w:color w:val="000000"/>
                <w:sz w:val="18"/>
              </w:rPr>
              <w:t>Date from which the approved version is authorized for use.</w:t>
            </w:r>
          </w:p>
        </w:tc>
      </w:tr>
      <w:tr>
        <w:trPr>
          <w:cantSplit/>
        </w:trPr>
        <w:tc>
          <w:tcPr>
            <w:tcW w:type="dxa" w:w="2232"/>
            <w:vAlign w:val="center"/>
          </w:tcPr>
          <w:p>
            <w:pPr>
              <w:spacing w:after="0" w:before="0" w:line="240" w:lineRule="auto"/>
              <w:jc w:val="left"/>
            </w:pPr>
            <w:r/>
            <w:r>
              <w:rPr>
                <w:rFonts w:ascii="Cambria" w:hAnsi="Cambria"/>
                <w:b/>
                <w:i w:val="0"/>
                <w:color w:val="000000"/>
                <w:sz w:val="18"/>
              </w:rPr>
              <w:t>Owner</w:t>
            </w:r>
          </w:p>
        </w:tc>
        <w:tc>
          <w:tcPr>
            <w:tcW w:type="dxa" w:w="7056"/>
            <w:vAlign w:val="center"/>
          </w:tcPr>
          <w:p>
            <w:pPr>
              <w:spacing w:after="0" w:before="0" w:line="240" w:lineRule="auto"/>
              <w:jc w:val="left"/>
            </w:pPr>
            <w:r/>
            <w:r>
              <w:rPr>
                <w:rFonts w:ascii="Cambria" w:hAnsi="Cambria"/>
                <w:b w:val="0"/>
                <w:i w:val="0"/>
                <w:color w:val="000000"/>
                <w:sz w:val="18"/>
              </w:rPr>
              <w:t>Role accountable for content and periodic review.</w:t>
            </w:r>
          </w:p>
        </w:tc>
      </w:tr>
      <w:tr>
        <w:trPr>
          <w:cantSplit/>
        </w:trPr>
        <w:tc>
          <w:tcPr>
            <w:tcW w:type="dxa" w:w="2232"/>
            <w:vAlign w:val="center"/>
          </w:tcPr>
          <w:p>
            <w:pPr>
              <w:spacing w:after="0" w:before="0" w:line="240" w:lineRule="auto"/>
              <w:jc w:val="left"/>
            </w:pPr>
            <w:r/>
            <w:r>
              <w:rPr>
                <w:rFonts w:ascii="Cambria" w:hAnsi="Cambria"/>
                <w:b/>
                <w:i w:val="0"/>
                <w:color w:val="000000"/>
                <w:sz w:val="18"/>
              </w:rPr>
              <w:t>Approver</w:t>
            </w:r>
          </w:p>
        </w:tc>
        <w:tc>
          <w:tcPr>
            <w:tcW w:type="dxa" w:w="7056"/>
            <w:vAlign w:val="center"/>
          </w:tcPr>
          <w:p>
            <w:pPr>
              <w:spacing w:after="0" w:before="0" w:line="240" w:lineRule="auto"/>
              <w:jc w:val="left"/>
            </w:pPr>
            <w:r/>
            <w:r>
              <w:rPr>
                <w:rFonts w:ascii="Cambria" w:hAnsi="Cambria"/>
                <w:b w:val="0"/>
                <w:i w:val="0"/>
                <w:color w:val="000000"/>
                <w:sz w:val="18"/>
              </w:rPr>
              <w:t>Role authorized to release the document.</w:t>
            </w:r>
          </w:p>
        </w:tc>
      </w:tr>
      <w:tr>
        <w:trPr>
          <w:cantSplit/>
        </w:trPr>
        <w:tc>
          <w:tcPr>
            <w:tcW w:type="dxa" w:w="2232"/>
            <w:vAlign w:val="center"/>
          </w:tcPr>
          <w:p>
            <w:pPr>
              <w:spacing w:after="0" w:before="0" w:line="240" w:lineRule="auto"/>
              <w:jc w:val="left"/>
            </w:pPr>
            <w:r/>
            <w:r>
              <w:rPr>
                <w:rFonts w:ascii="Cambria" w:hAnsi="Cambria"/>
                <w:b/>
                <w:i w:val="0"/>
                <w:color w:val="000000"/>
                <w:sz w:val="18"/>
              </w:rPr>
              <w:t>Classification</w:t>
            </w:r>
          </w:p>
        </w:tc>
        <w:tc>
          <w:tcPr>
            <w:tcW w:type="dxa" w:w="7056"/>
            <w:vAlign w:val="center"/>
          </w:tcPr>
          <w:p>
            <w:pPr>
              <w:spacing w:after="0" w:before="0" w:line="240" w:lineRule="auto"/>
              <w:jc w:val="left"/>
            </w:pPr>
            <w:r/>
            <w:r>
              <w:rPr>
                <w:rFonts w:ascii="Cambria" w:hAnsi="Cambria"/>
                <w:b w:val="0"/>
                <w:i w:val="0"/>
                <w:color w:val="000000"/>
                <w:sz w:val="18"/>
              </w:rPr>
              <w:t>Access level, e.g., Internal or Confidential.</w:t>
            </w:r>
          </w:p>
        </w:tc>
      </w:tr>
      <w:tr>
        <w:trPr>
          <w:cantSplit/>
        </w:trPr>
        <w:tc>
          <w:tcPr>
            <w:tcW w:type="dxa" w:w="2232"/>
            <w:vAlign w:val="center"/>
          </w:tcPr>
          <w:p>
            <w:pPr>
              <w:spacing w:after="0" w:before="0" w:line="240" w:lineRule="auto"/>
              <w:jc w:val="left"/>
            </w:pPr>
            <w:r/>
            <w:r>
              <w:rPr>
                <w:rFonts w:ascii="Cambria" w:hAnsi="Cambria"/>
                <w:b/>
                <w:i w:val="0"/>
                <w:color w:val="000000"/>
                <w:sz w:val="18"/>
              </w:rPr>
              <w:t>Status</w:t>
            </w:r>
          </w:p>
        </w:tc>
        <w:tc>
          <w:tcPr>
            <w:tcW w:type="dxa" w:w="7056"/>
            <w:vAlign w:val="center"/>
          </w:tcPr>
          <w:p>
            <w:pPr>
              <w:spacing w:after="0" w:before="0" w:line="240" w:lineRule="auto"/>
              <w:jc w:val="left"/>
            </w:pPr>
            <w:r/>
            <w:r>
              <w:rPr>
                <w:rFonts w:ascii="Cambria" w:hAnsi="Cambria"/>
                <w:b w:val="0"/>
                <w:i w:val="0"/>
                <w:color w:val="000000"/>
                <w:sz w:val="18"/>
              </w:rPr>
              <w:t>Draft, Approved / Current, Superseded or Obsolete.</w:t>
            </w:r>
          </w:p>
        </w:tc>
      </w:tr>
    </w:tbl>
    <w:p>
      <w:pPr>
        <w:pStyle w:val="Heading2"/>
        <w:keepNext/>
      </w:pPr>
      <w:r>
        <w:t>4.2 Change Control and Revision</w:t>
      </w:r>
    </w:p>
    <w:p>
      <w:pPr>
        <w:pStyle w:val="ListBullet"/>
        <w:spacing w:after="40"/>
        <w:ind w:left="340" w:hanging="170"/>
      </w:pPr>
      <w:r>
        <w:rPr>
          <w:rFonts w:ascii="Cambria" w:hAnsi="Cambria"/>
          <w:b w:val="0"/>
          <w:i w:val="0"/>
          <w:color w:val="000000"/>
          <w:sz w:val="20"/>
        </w:rPr>
        <w:t>Changes must be initiated by an authorized owner and reviewed at a level appropriate to their food safety impact.</w:t>
      </w:r>
    </w:p>
    <w:p>
      <w:pPr>
        <w:pStyle w:val="ListBullet"/>
        <w:spacing w:after="40"/>
        <w:ind w:left="340" w:hanging="170"/>
      </w:pPr>
      <w:r>
        <w:rPr>
          <w:rFonts w:ascii="Cambria" w:hAnsi="Cambria"/>
          <w:b w:val="0"/>
          <w:i w:val="0"/>
          <w:color w:val="000000"/>
          <w:sz w:val="20"/>
        </w:rPr>
        <w:t>Changes affecting operational controls must be assessed before implementation so related procedures, forms, monitoring instructions, training and records remain consistent.</w:t>
      </w:r>
    </w:p>
    <w:p>
      <w:pPr>
        <w:pStyle w:val="ListBullet"/>
        <w:spacing w:after="40"/>
        <w:ind w:left="340" w:hanging="170"/>
      </w:pPr>
      <w:r>
        <w:rPr>
          <w:rFonts w:ascii="Cambria" w:hAnsi="Cambria"/>
          <w:b w:val="0"/>
          <w:i w:val="0"/>
          <w:color w:val="000000"/>
          <w:sz w:val="20"/>
        </w:rPr>
        <w:t>The revision history should state what changed at a level sufficient for users and auditors to understand the reason and scope of the revision.</w:t>
      </w:r>
    </w:p>
    <w:p>
      <w:pPr>
        <w:pStyle w:val="ListBullet"/>
        <w:spacing w:after="40"/>
        <w:ind w:left="340" w:hanging="170"/>
      </w:pPr>
      <w:r>
        <w:rPr>
          <w:rFonts w:ascii="Cambria" w:hAnsi="Cambria"/>
          <w:b w:val="0"/>
          <w:i w:val="0"/>
          <w:color w:val="000000"/>
          <w:sz w:val="20"/>
        </w:rPr>
        <w:t>Superseded versions must be removed from normal use. Archived copies may be retained for legal, traceability, investigation or knowledge purposes when clearly identified as obsolete.</w:t>
      </w:r>
    </w:p>
    <w:p>
      <w:pPr>
        <w:pStyle w:val="ListBullet"/>
        <w:spacing w:after="40"/>
        <w:ind w:left="340" w:hanging="170"/>
      </w:pPr>
      <w:r>
        <w:rPr>
          <w:rFonts w:ascii="Cambria" w:hAnsi="Cambria"/>
          <w:b w:val="0"/>
          <w:i w:val="0"/>
          <w:color w:val="000000"/>
          <w:sz w:val="20"/>
        </w:rPr>
        <w:t>Emergency temporary instructions may be authorized for a defined period, but must have an owner, approval, expiry / review point and controlled withdrawal.</w:t>
      </w:r>
    </w:p>
    <w:p>
      <w:pPr>
        <w:pStyle w:val="Heading2"/>
        <w:keepNext/>
      </w:pPr>
      <w:r>
        <w:t>4.3 Control of External Documented Information</w:t>
      </w:r>
    </w:p>
    <w:p>
      <w:pPr>
        <w:pStyle w:val="BodyText"/>
      </w:pPr>
      <w:r>
        <w:rPr>
          <w:rFonts w:ascii="Cambria" w:hAnsi="Cambria"/>
          <w:b w:val="0"/>
          <w:i w:val="0"/>
          <w:color w:val="000000"/>
          <w:sz w:val="21"/>
        </w:rPr>
        <w:t>External information that is necessary for the FSMS shall be identified and controlled according to its importance and change risk. Typical examples include legislation, regulatory notices, customer specifications, supplier specifications, laboratory methods, equipment manuals, standards, Codex texts and sector guidance.</w:t>
      </w:r>
    </w:p>
    <w:tbl>
      <w:tblPr>
        <w:tblStyle w:val="TableGrid"/>
        <w:tblW w:type="auto" w:w="0"/>
        <w:jc w:val="center"/>
        <w:tblLayout w:type="fixed"/>
        <w:tblLook w:val="04A0"/>
      </w:tblPr>
      <w:tblGrid>
        <w:gridCol w:w="4677"/>
        <w:gridCol w:w="4677"/>
      </w:tblGrid>
      <w:tr>
        <w:trPr>
          <w:cantSplit/>
          <w:tblHeader w:val="true"/>
        </w:trPr>
        <w:tc>
          <w:tcPr>
            <w:tcW w:type="dxa" w:w="2088"/>
            <w:vAlign w:val="center"/>
            <w:shd w:fill="D9EAF7" w:val="clear"/>
          </w:tcPr>
          <w:p>
            <w:pPr>
              <w:spacing w:after="0" w:before="0" w:line="240" w:lineRule="auto"/>
              <w:jc w:val="center"/>
            </w:pPr>
            <w:r/>
            <w:r>
              <w:rPr>
                <w:rFonts w:ascii="Cambria" w:hAnsi="Cambria"/>
                <w:b/>
                <w:i w:val="0"/>
                <w:color w:val="000000"/>
                <w:sz w:val="18"/>
              </w:rPr>
              <w:t>Control</w:t>
            </w:r>
          </w:p>
        </w:tc>
        <w:tc>
          <w:tcPr>
            <w:tcW w:type="dxa" w:w="7200"/>
            <w:vAlign w:val="center"/>
            <w:shd w:fill="D9EAF7" w:val="clear"/>
          </w:tcPr>
          <w:p>
            <w:pPr>
              <w:spacing w:after="0" w:before="0" w:line="240" w:lineRule="auto"/>
              <w:jc w:val="center"/>
            </w:pPr>
            <w:r/>
            <w:r>
              <w:rPr>
                <w:rFonts w:ascii="Cambria" w:hAnsi="Cambria"/>
                <w:b/>
                <w:i w:val="0"/>
                <w:color w:val="000000"/>
                <w:sz w:val="18"/>
              </w:rPr>
              <w:t>Practical Method</w:t>
            </w:r>
          </w:p>
        </w:tc>
      </w:tr>
      <w:tr>
        <w:trPr>
          <w:cantSplit/>
        </w:trPr>
        <w:tc>
          <w:tcPr>
            <w:tcW w:type="dxa" w:w="2088"/>
            <w:vAlign w:val="center"/>
          </w:tcPr>
          <w:p>
            <w:pPr>
              <w:spacing w:after="0" w:before="0" w:line="240" w:lineRule="auto"/>
              <w:jc w:val="left"/>
            </w:pPr>
            <w:r/>
            <w:r>
              <w:rPr>
                <w:rFonts w:ascii="Cambria" w:hAnsi="Cambria"/>
                <w:b/>
                <w:i w:val="0"/>
                <w:color w:val="000000"/>
                <w:sz w:val="18"/>
              </w:rPr>
              <w:t>Source verification</w:t>
            </w:r>
          </w:p>
        </w:tc>
        <w:tc>
          <w:tcPr>
            <w:tcW w:type="dxa" w:w="7200"/>
            <w:vAlign w:val="center"/>
          </w:tcPr>
          <w:p>
            <w:pPr>
              <w:spacing w:after="0" w:before="0" w:line="240" w:lineRule="auto"/>
              <w:jc w:val="left"/>
            </w:pPr>
            <w:r/>
            <w:r>
              <w:rPr>
                <w:rFonts w:ascii="Cambria" w:hAnsi="Cambria"/>
                <w:b w:val="0"/>
                <w:i w:val="0"/>
                <w:color w:val="000000"/>
                <w:sz w:val="18"/>
              </w:rPr>
              <w:t>Use an authoritative source and record source / issue date where practical.</w:t>
            </w:r>
          </w:p>
        </w:tc>
      </w:tr>
      <w:tr>
        <w:trPr>
          <w:cantSplit/>
        </w:trPr>
        <w:tc>
          <w:tcPr>
            <w:tcW w:type="dxa" w:w="2088"/>
            <w:vAlign w:val="center"/>
          </w:tcPr>
          <w:p>
            <w:pPr>
              <w:spacing w:after="0" w:before="0" w:line="240" w:lineRule="auto"/>
              <w:jc w:val="left"/>
            </w:pPr>
            <w:r/>
            <w:r>
              <w:rPr>
                <w:rFonts w:ascii="Cambria" w:hAnsi="Cambria"/>
                <w:b/>
                <w:i w:val="0"/>
                <w:color w:val="000000"/>
                <w:sz w:val="18"/>
              </w:rPr>
              <w:t>Current status</w:t>
            </w:r>
          </w:p>
        </w:tc>
        <w:tc>
          <w:tcPr>
            <w:tcW w:type="dxa" w:w="7200"/>
            <w:vAlign w:val="center"/>
          </w:tcPr>
          <w:p>
            <w:pPr>
              <w:spacing w:after="0" w:before="0" w:line="240" w:lineRule="auto"/>
              <w:jc w:val="left"/>
            </w:pPr>
            <w:r/>
            <w:r>
              <w:rPr>
                <w:rFonts w:ascii="Cambria" w:hAnsi="Cambria"/>
                <w:b w:val="0"/>
                <w:i w:val="0"/>
                <w:color w:val="000000"/>
                <w:sz w:val="18"/>
              </w:rPr>
              <w:t>Assign an owner to monitor changes at a risk-based frequency.</w:t>
            </w:r>
          </w:p>
        </w:tc>
      </w:tr>
      <w:tr>
        <w:trPr>
          <w:cantSplit/>
        </w:trPr>
        <w:tc>
          <w:tcPr>
            <w:tcW w:type="dxa" w:w="2088"/>
            <w:vAlign w:val="center"/>
          </w:tcPr>
          <w:p>
            <w:pPr>
              <w:spacing w:after="0" w:before="0" w:line="240" w:lineRule="auto"/>
              <w:jc w:val="left"/>
            </w:pPr>
            <w:r/>
            <w:r>
              <w:rPr>
                <w:rFonts w:ascii="Cambria" w:hAnsi="Cambria"/>
                <w:b/>
                <w:i w:val="0"/>
                <w:color w:val="000000"/>
                <w:sz w:val="18"/>
              </w:rPr>
              <w:t>Access</w:t>
            </w:r>
          </w:p>
        </w:tc>
        <w:tc>
          <w:tcPr>
            <w:tcW w:type="dxa" w:w="7200"/>
            <w:vAlign w:val="center"/>
          </w:tcPr>
          <w:p>
            <w:pPr>
              <w:spacing w:after="0" w:before="0" w:line="240" w:lineRule="auto"/>
              <w:jc w:val="left"/>
            </w:pPr>
            <w:r/>
            <w:r>
              <w:rPr>
                <w:rFonts w:ascii="Cambria" w:hAnsi="Cambria"/>
                <w:b w:val="0"/>
                <w:i w:val="0"/>
                <w:color w:val="000000"/>
                <w:sz w:val="18"/>
              </w:rPr>
              <w:t>Link or store the controlled reference where affected users can retrieve it.</w:t>
            </w:r>
          </w:p>
        </w:tc>
      </w:tr>
      <w:tr>
        <w:trPr>
          <w:cantSplit/>
        </w:trPr>
        <w:tc>
          <w:tcPr>
            <w:tcW w:type="dxa" w:w="2088"/>
            <w:vAlign w:val="center"/>
          </w:tcPr>
          <w:p>
            <w:pPr>
              <w:spacing w:after="0" w:before="0" w:line="240" w:lineRule="auto"/>
              <w:jc w:val="left"/>
            </w:pPr>
            <w:r/>
            <w:r>
              <w:rPr>
                <w:rFonts w:ascii="Cambria" w:hAnsi="Cambria"/>
                <w:b/>
                <w:i w:val="0"/>
                <w:color w:val="000000"/>
                <w:sz w:val="18"/>
              </w:rPr>
              <w:t>Change assessment</w:t>
            </w:r>
          </w:p>
        </w:tc>
        <w:tc>
          <w:tcPr>
            <w:tcW w:type="dxa" w:w="7200"/>
            <w:vAlign w:val="center"/>
          </w:tcPr>
          <w:p>
            <w:pPr>
              <w:spacing w:after="0" w:before="0" w:line="240" w:lineRule="auto"/>
              <w:jc w:val="left"/>
            </w:pPr>
            <w:r/>
            <w:r>
              <w:rPr>
                <w:rFonts w:ascii="Cambria" w:hAnsi="Cambria"/>
                <w:b w:val="0"/>
                <w:i w:val="0"/>
                <w:color w:val="000000"/>
                <w:sz w:val="18"/>
              </w:rPr>
              <w:t>Evaluate relevant updates for impact on hazards, controls, labels, specifications, processes or compliance obligations.</w:t>
            </w:r>
          </w:p>
        </w:tc>
      </w:tr>
      <w:tr>
        <w:trPr>
          <w:cantSplit/>
        </w:trPr>
        <w:tc>
          <w:tcPr>
            <w:tcW w:type="dxa" w:w="2088"/>
            <w:vAlign w:val="center"/>
          </w:tcPr>
          <w:p>
            <w:pPr>
              <w:spacing w:after="0" w:before="0" w:line="240" w:lineRule="auto"/>
              <w:jc w:val="left"/>
            </w:pPr>
            <w:r/>
            <w:r>
              <w:rPr>
                <w:rFonts w:ascii="Cambria" w:hAnsi="Cambria"/>
                <w:b/>
                <w:i w:val="0"/>
                <w:color w:val="000000"/>
                <w:sz w:val="18"/>
              </w:rPr>
              <w:t>Obsolete references</w:t>
            </w:r>
          </w:p>
        </w:tc>
        <w:tc>
          <w:tcPr>
            <w:tcW w:type="dxa" w:w="7200"/>
            <w:vAlign w:val="center"/>
          </w:tcPr>
          <w:p>
            <w:pPr>
              <w:spacing w:after="0" w:before="0" w:line="240" w:lineRule="auto"/>
              <w:jc w:val="left"/>
            </w:pPr>
            <w:r/>
            <w:r>
              <w:rPr>
                <w:rFonts w:ascii="Cambria" w:hAnsi="Cambria"/>
                <w:b w:val="0"/>
                <w:i w:val="0"/>
                <w:color w:val="000000"/>
                <w:sz w:val="18"/>
              </w:rPr>
              <w:t>Remove superseded versions from normal use or clearly mark them as reference-only / obsolete.</w:t>
            </w:r>
          </w:p>
        </w:tc>
      </w:tr>
    </w:tbl>
    <w:p>
      <w:pPr>
        <w:pStyle w:val="Heading2"/>
        <w:keepNext/>
      </w:pPr>
      <w:r>
        <w:t>4.4 Completion and Correction of Records</w:t>
      </w:r>
    </w:p>
    <w:p>
      <w:pPr>
        <w:pStyle w:val="ListBullet"/>
        <w:spacing w:after="40"/>
        <w:ind w:left="340" w:hanging="170"/>
      </w:pPr>
      <w:r>
        <w:rPr>
          <w:rFonts w:ascii="Cambria" w:hAnsi="Cambria"/>
          <w:b w:val="0"/>
          <w:i w:val="0"/>
          <w:color w:val="000000"/>
          <w:sz w:val="20"/>
        </w:rPr>
        <w:t>Records should identify the activity, date / time where relevant, result, person or system creating the record, and any action taken for an abnormal result.</w:t>
      </w:r>
    </w:p>
    <w:p>
      <w:pPr>
        <w:pStyle w:val="ListBullet"/>
        <w:spacing w:after="40"/>
        <w:ind w:left="340" w:hanging="170"/>
      </w:pPr>
      <w:r>
        <w:rPr>
          <w:rFonts w:ascii="Cambria" w:hAnsi="Cambria"/>
          <w:b w:val="0"/>
          <w:i w:val="0"/>
          <w:color w:val="000000"/>
          <w:sz w:val="20"/>
        </w:rPr>
        <w:t>Paper corrections should preserve the original entry, show the corrected information and identify who made the correction and when, where this is material to traceability or food safety.</w:t>
      </w:r>
    </w:p>
    <w:p>
      <w:pPr>
        <w:pStyle w:val="ListBullet"/>
        <w:spacing w:after="40"/>
        <w:ind w:left="340" w:hanging="170"/>
      </w:pPr>
      <w:r>
        <w:rPr>
          <w:rFonts w:ascii="Cambria" w:hAnsi="Cambria"/>
          <w:b w:val="0"/>
          <w:i w:val="0"/>
          <w:color w:val="000000"/>
          <w:sz w:val="20"/>
        </w:rPr>
        <w:t>Electronic systems should maintain equivalent traceability through controlled permissions, audit trails or change history where needed by risk.</w:t>
      </w:r>
    </w:p>
    <w:p>
      <w:pPr>
        <w:pStyle w:val="ListBullet"/>
        <w:spacing w:after="40"/>
        <w:ind w:left="340" w:hanging="170"/>
      </w:pPr>
      <w:r>
        <w:rPr>
          <w:rFonts w:ascii="Cambria" w:hAnsi="Cambria"/>
          <w:b w:val="0"/>
          <w:i w:val="0"/>
          <w:color w:val="000000"/>
          <w:sz w:val="20"/>
        </w:rPr>
        <w:t>Blank fields that are not applicable should be marked N/A when omission could be mistaken for an incomplete check.</w:t>
      </w:r>
    </w:p>
    <w:p>
      <w:pPr>
        <w:pStyle w:val="ListBullet"/>
        <w:spacing w:after="40"/>
        <w:ind w:left="340" w:hanging="170"/>
      </w:pPr>
      <w:r>
        <w:rPr>
          <w:rFonts w:ascii="Cambria" w:hAnsi="Cambria"/>
          <w:b w:val="0"/>
          <w:i w:val="0"/>
          <w:color w:val="000000"/>
          <w:sz w:val="20"/>
        </w:rPr>
        <w:t>Records that support release, monitoring, verification, traceability, withdrawal / recall or regulatory evidence require heightened protection and retrievability.</w:t>
      </w:r>
    </w:p>
    <w:p>
      <w:pPr>
        <w:keepLines/>
        <w:spacing w:before="80" w:after="120"/>
      </w:pPr>
      <w:r>
        <w:rPr>
          <w:rFonts w:ascii="Cambria" w:hAnsi="Cambria"/>
          <w:b/>
          <w:i/>
          <w:color w:val="C00000"/>
          <w:sz w:val="19"/>
        </w:rPr>
        <w:t xml:space="preserve">[Note] </w:t>
      </w:r>
      <w:r>
        <w:rPr>
          <w:rFonts w:ascii="Cambria" w:hAnsi="Cambria"/>
          <w:b w:val="0"/>
          <w:i/>
          <w:color w:val="C00000"/>
          <w:sz w:val="19"/>
        </w:rPr>
        <w:t>Electronic workflows are acceptable when approval identity, version status, access, change history, retention and retrieval can be demonstrated.</w:t>
      </w:r>
    </w:p>
    <w:p>
      <w:pPr>
        <w:pStyle w:val="Heading2"/>
        <w:keepNext/>
      </w:pPr>
      <w:r>
        <w:t>4.5 Retention and Disposition</w:t>
      </w:r>
    </w:p>
    <w:p>
      <w:pPr>
        <w:pStyle w:val="BodyText"/>
      </w:pPr>
      <w:r>
        <w:rPr>
          <w:rFonts w:ascii="Cambria" w:hAnsi="Cambria"/>
          <w:b w:val="0"/>
          <w:i w:val="0"/>
          <w:color w:val="000000"/>
          <w:sz w:val="21"/>
        </w:rPr>
        <w:t>Retention periods shall be defined by the organization using legal and regulatory requirements, customer commitments, product shelf life, traceability and withdrawal / recall needs, complaint and incident investigation needs, certification requirements, contractual obligations and business continuity considerations.</w:t>
      </w:r>
    </w:p>
    <w:tbl>
      <w:tblPr>
        <w:tblStyle w:val="TableGrid"/>
        <w:tblW w:type="auto" w:w="0"/>
        <w:jc w:val="center"/>
        <w:tblLayout w:type="fixed"/>
        <w:tblLook w:val="04A0"/>
      </w:tblPr>
      <w:tblGrid>
        <w:gridCol w:w="3118"/>
        <w:gridCol w:w="3118"/>
        <w:gridCol w:w="3118"/>
      </w:tblGrid>
      <w:tr>
        <w:trPr>
          <w:cantSplit/>
          <w:tblHeader w:val="true"/>
        </w:trPr>
        <w:tc>
          <w:tcPr>
            <w:tcW w:type="dxa" w:w="3168"/>
            <w:vAlign w:val="center"/>
            <w:shd w:fill="D9EAF7" w:val="clear"/>
          </w:tcPr>
          <w:p>
            <w:pPr>
              <w:spacing w:after="0" w:before="0" w:line="240" w:lineRule="auto"/>
              <w:jc w:val="center"/>
            </w:pPr>
            <w:r/>
            <w:r>
              <w:rPr>
                <w:rFonts w:ascii="Cambria" w:hAnsi="Cambria"/>
                <w:b/>
                <w:i w:val="0"/>
                <w:color w:val="000000"/>
                <w:sz w:val="17"/>
              </w:rPr>
              <w:t>Record Category</w:t>
            </w:r>
          </w:p>
        </w:tc>
        <w:tc>
          <w:tcPr>
            <w:tcW w:type="dxa" w:w="4752"/>
            <w:vAlign w:val="center"/>
            <w:shd w:fill="D9EAF7" w:val="clear"/>
          </w:tcPr>
          <w:p>
            <w:pPr>
              <w:spacing w:after="0" w:before="0" w:line="240" w:lineRule="auto"/>
              <w:jc w:val="center"/>
            </w:pPr>
            <w:r/>
            <w:r>
              <w:rPr>
                <w:rFonts w:ascii="Cambria" w:hAnsi="Cambria"/>
                <w:b/>
                <w:i w:val="0"/>
                <w:color w:val="000000"/>
                <w:sz w:val="17"/>
              </w:rPr>
              <w:t>Retention Rule to Define</w:t>
            </w:r>
          </w:p>
        </w:tc>
        <w:tc>
          <w:tcPr>
            <w:tcW w:type="dxa" w:w="1368"/>
            <w:vAlign w:val="center"/>
            <w:shd w:fill="D9EAF7" w:val="clear"/>
          </w:tcPr>
          <w:p>
            <w:pPr>
              <w:spacing w:after="0" w:before="0" w:line="240" w:lineRule="auto"/>
              <w:jc w:val="center"/>
            </w:pPr>
            <w:r/>
            <w:r>
              <w:rPr>
                <w:rFonts w:ascii="Cambria" w:hAnsi="Cambria"/>
                <w:b/>
                <w:i w:val="0"/>
                <w:color w:val="000000"/>
                <w:sz w:val="17"/>
              </w:rPr>
              <w:t>Owner</w:t>
            </w:r>
          </w:p>
        </w:tc>
      </w:tr>
      <w:tr>
        <w:trPr>
          <w:cantSplit/>
        </w:trPr>
        <w:tc>
          <w:tcPr>
            <w:tcW w:type="dxa" w:w="3168"/>
            <w:vAlign w:val="center"/>
          </w:tcPr>
          <w:p>
            <w:pPr>
              <w:spacing w:after="0" w:before="0" w:line="240" w:lineRule="auto"/>
              <w:jc w:val="left"/>
            </w:pPr>
            <w:r/>
            <w:r>
              <w:rPr>
                <w:rFonts w:ascii="Cambria" w:hAnsi="Cambria"/>
                <w:b w:val="0"/>
                <w:i w:val="0"/>
                <w:color w:val="000000"/>
                <w:sz w:val="17"/>
              </w:rPr>
              <w:t>Hazard analysis / hazard control plan records</w:t>
            </w:r>
          </w:p>
        </w:tc>
        <w:tc>
          <w:tcPr>
            <w:tcW w:type="dxa" w:w="4752"/>
            <w:vAlign w:val="center"/>
          </w:tcPr>
          <w:p>
            <w:pPr>
              <w:spacing w:after="0" w:before="0" w:line="240" w:lineRule="auto"/>
              <w:jc w:val="left"/>
            </w:pPr>
            <w:r/>
            <w:r>
              <w:rPr>
                <w:rFonts w:ascii="Cambria" w:hAnsi="Cambria"/>
                <w:b w:val="0"/>
                <w:i w:val="0"/>
                <w:color w:val="000000"/>
                <w:sz w:val="17"/>
              </w:rPr>
              <w:t>Retain long enough to demonstrate the basis and history of control decisions and subsequent updates.</w:t>
            </w:r>
          </w:p>
        </w:tc>
        <w:tc>
          <w:tcPr>
            <w:tcW w:type="dxa" w:w="1368"/>
            <w:vAlign w:val="center"/>
          </w:tcPr>
          <w:p>
            <w:pPr>
              <w:spacing w:after="0" w:before="0" w:line="240" w:lineRule="auto"/>
              <w:jc w:val="left"/>
            </w:pPr>
            <w:r/>
            <w:r>
              <w:rPr>
                <w:rFonts w:ascii="Cambria" w:hAnsi="Cambria"/>
                <w:b w:val="0"/>
                <w:i w:val="0"/>
                <w:color w:val="000000"/>
                <w:sz w:val="17"/>
              </w:rPr>
              <w:t>Food Safety Team Leader</w:t>
            </w:r>
          </w:p>
        </w:tc>
      </w:tr>
      <w:tr>
        <w:trPr>
          <w:cantSplit/>
        </w:trPr>
        <w:tc>
          <w:tcPr>
            <w:tcW w:type="dxa" w:w="3168"/>
            <w:vAlign w:val="center"/>
          </w:tcPr>
          <w:p>
            <w:pPr>
              <w:spacing w:after="0" w:before="0" w:line="240" w:lineRule="auto"/>
              <w:jc w:val="left"/>
            </w:pPr>
            <w:r/>
            <w:r>
              <w:rPr>
                <w:rFonts w:ascii="Cambria" w:hAnsi="Cambria"/>
                <w:b w:val="0"/>
                <w:i w:val="0"/>
                <w:color w:val="000000"/>
                <w:sz w:val="17"/>
              </w:rPr>
              <w:t>Monitoring / verification records</w:t>
            </w:r>
          </w:p>
        </w:tc>
        <w:tc>
          <w:tcPr>
            <w:tcW w:type="dxa" w:w="4752"/>
            <w:vAlign w:val="center"/>
          </w:tcPr>
          <w:p>
            <w:pPr>
              <w:spacing w:after="0" w:before="0" w:line="240" w:lineRule="auto"/>
              <w:jc w:val="left"/>
            </w:pPr>
            <w:r/>
            <w:r>
              <w:rPr>
                <w:rFonts w:ascii="Cambria" w:hAnsi="Cambria"/>
                <w:b w:val="0"/>
                <w:i w:val="0"/>
                <w:color w:val="000000"/>
                <w:sz w:val="17"/>
              </w:rPr>
              <w:t>Retain for the period needed to support product safety evidence, investigations and applicable obligations.</w:t>
            </w:r>
          </w:p>
        </w:tc>
        <w:tc>
          <w:tcPr>
            <w:tcW w:type="dxa" w:w="1368"/>
            <w:vAlign w:val="center"/>
          </w:tcPr>
          <w:p>
            <w:pPr>
              <w:spacing w:after="0" w:before="0" w:line="240" w:lineRule="auto"/>
              <w:jc w:val="left"/>
            </w:pPr>
            <w:r/>
            <w:r>
              <w:rPr>
                <w:rFonts w:ascii="Cambria" w:hAnsi="Cambria"/>
                <w:b w:val="0"/>
                <w:i w:val="0"/>
                <w:color w:val="000000"/>
                <w:sz w:val="17"/>
              </w:rPr>
              <w:t>Process Owner</w:t>
            </w:r>
          </w:p>
        </w:tc>
      </w:tr>
      <w:tr>
        <w:trPr>
          <w:cantSplit/>
        </w:trPr>
        <w:tc>
          <w:tcPr>
            <w:tcW w:type="dxa" w:w="3168"/>
            <w:vAlign w:val="center"/>
          </w:tcPr>
          <w:p>
            <w:pPr>
              <w:spacing w:after="0" w:before="0" w:line="240" w:lineRule="auto"/>
              <w:jc w:val="left"/>
            </w:pPr>
            <w:r/>
            <w:r>
              <w:rPr>
                <w:rFonts w:ascii="Cambria" w:hAnsi="Cambria"/>
                <w:b w:val="0"/>
                <w:i w:val="0"/>
                <w:color w:val="000000"/>
                <w:sz w:val="17"/>
              </w:rPr>
              <w:t>Traceability / withdrawal records</w:t>
            </w:r>
          </w:p>
        </w:tc>
        <w:tc>
          <w:tcPr>
            <w:tcW w:type="dxa" w:w="4752"/>
            <w:vAlign w:val="center"/>
          </w:tcPr>
          <w:p>
            <w:pPr>
              <w:spacing w:after="0" w:before="0" w:line="240" w:lineRule="auto"/>
              <w:jc w:val="left"/>
            </w:pPr>
            <w:r/>
            <w:r>
              <w:rPr>
                <w:rFonts w:ascii="Cambria" w:hAnsi="Cambria"/>
                <w:b w:val="0"/>
                <w:i w:val="0"/>
                <w:color w:val="000000"/>
                <w:sz w:val="17"/>
              </w:rPr>
              <w:t>Retain consistent with traceability objectives, product life, customer and regulatory expectations.</w:t>
            </w:r>
          </w:p>
        </w:tc>
        <w:tc>
          <w:tcPr>
            <w:tcW w:type="dxa" w:w="1368"/>
            <w:vAlign w:val="center"/>
          </w:tcPr>
          <w:p>
            <w:pPr>
              <w:spacing w:after="0" w:before="0" w:line="240" w:lineRule="auto"/>
              <w:jc w:val="left"/>
            </w:pPr>
            <w:r/>
            <w:r>
              <w:rPr>
                <w:rFonts w:ascii="Cambria" w:hAnsi="Cambria"/>
                <w:b w:val="0"/>
                <w:i w:val="0"/>
                <w:color w:val="000000"/>
                <w:sz w:val="17"/>
              </w:rPr>
              <w:t>Supply Chain / Food Safety</w:t>
            </w:r>
          </w:p>
        </w:tc>
      </w:tr>
      <w:tr>
        <w:trPr>
          <w:cantSplit/>
        </w:trPr>
        <w:tc>
          <w:tcPr>
            <w:tcW w:type="dxa" w:w="3168"/>
            <w:vAlign w:val="center"/>
          </w:tcPr>
          <w:p>
            <w:pPr>
              <w:spacing w:after="0" w:before="0" w:line="240" w:lineRule="auto"/>
              <w:jc w:val="left"/>
            </w:pPr>
            <w:r/>
            <w:r>
              <w:rPr>
                <w:rFonts w:ascii="Cambria" w:hAnsi="Cambria"/>
                <w:b w:val="0"/>
                <w:i w:val="0"/>
                <w:color w:val="000000"/>
                <w:sz w:val="17"/>
              </w:rPr>
              <w:t>Training / competence records</w:t>
            </w:r>
          </w:p>
        </w:tc>
        <w:tc>
          <w:tcPr>
            <w:tcW w:type="dxa" w:w="4752"/>
            <w:vAlign w:val="center"/>
          </w:tcPr>
          <w:p>
            <w:pPr>
              <w:spacing w:after="0" w:before="0" w:line="240" w:lineRule="auto"/>
              <w:jc w:val="left"/>
            </w:pPr>
            <w:r/>
            <w:r>
              <w:rPr>
                <w:rFonts w:ascii="Cambria" w:hAnsi="Cambria"/>
                <w:b w:val="0"/>
                <w:i w:val="0"/>
                <w:color w:val="000000"/>
                <w:sz w:val="17"/>
              </w:rPr>
              <w:t>Retain while competence evidence remains relevant and for the defined post-employment period if applicable.</w:t>
            </w:r>
          </w:p>
        </w:tc>
        <w:tc>
          <w:tcPr>
            <w:tcW w:type="dxa" w:w="1368"/>
            <w:vAlign w:val="center"/>
          </w:tcPr>
          <w:p>
            <w:pPr>
              <w:spacing w:after="0" w:before="0" w:line="240" w:lineRule="auto"/>
              <w:jc w:val="left"/>
            </w:pPr>
            <w:r/>
            <w:r>
              <w:rPr>
                <w:rFonts w:ascii="Cambria" w:hAnsi="Cambria"/>
                <w:b w:val="0"/>
                <w:i w:val="0"/>
                <w:color w:val="000000"/>
                <w:sz w:val="17"/>
              </w:rPr>
              <w:t>HR / Process Owner</w:t>
            </w:r>
          </w:p>
        </w:tc>
      </w:tr>
      <w:tr>
        <w:trPr>
          <w:cantSplit/>
        </w:trPr>
        <w:tc>
          <w:tcPr>
            <w:tcW w:type="dxa" w:w="3168"/>
            <w:vAlign w:val="center"/>
          </w:tcPr>
          <w:p>
            <w:pPr>
              <w:spacing w:after="0" w:before="0" w:line="240" w:lineRule="auto"/>
              <w:jc w:val="left"/>
            </w:pPr>
            <w:r/>
            <w:r>
              <w:rPr>
                <w:rFonts w:ascii="Cambria" w:hAnsi="Cambria"/>
                <w:b w:val="0"/>
                <w:i w:val="0"/>
                <w:color w:val="000000"/>
                <w:sz w:val="17"/>
              </w:rPr>
              <w:t>Audit / corrective action / management review records</w:t>
            </w:r>
          </w:p>
        </w:tc>
        <w:tc>
          <w:tcPr>
            <w:tcW w:type="dxa" w:w="4752"/>
            <w:vAlign w:val="center"/>
          </w:tcPr>
          <w:p>
            <w:pPr>
              <w:spacing w:after="0" w:before="0" w:line="240" w:lineRule="auto"/>
              <w:jc w:val="left"/>
            </w:pPr>
            <w:r/>
            <w:r>
              <w:rPr>
                <w:rFonts w:ascii="Cambria" w:hAnsi="Cambria"/>
                <w:b w:val="0"/>
                <w:i w:val="0"/>
                <w:color w:val="000000"/>
                <w:sz w:val="17"/>
              </w:rPr>
              <w:t>Retain across sufficient cycles to demonstrate closure, trend and continual improvement.</w:t>
            </w:r>
          </w:p>
        </w:tc>
        <w:tc>
          <w:tcPr>
            <w:tcW w:type="dxa" w:w="1368"/>
            <w:vAlign w:val="center"/>
          </w:tcPr>
          <w:p>
            <w:pPr>
              <w:spacing w:after="0" w:before="0" w:line="240" w:lineRule="auto"/>
              <w:jc w:val="left"/>
            </w:pPr>
            <w:r/>
            <w:r>
              <w:rPr>
                <w:rFonts w:ascii="Cambria" w:hAnsi="Cambria"/>
                <w:b w:val="0"/>
                <w:i w:val="0"/>
                <w:color w:val="000000"/>
                <w:sz w:val="17"/>
              </w:rPr>
              <w:t>FSMS Owner</w:t>
            </w:r>
          </w:p>
        </w:tc>
      </w:tr>
    </w:tbl>
    <w:p>
      <w:pPr>
        <w:pStyle w:val="Heading1"/>
        <w:keepNext/>
      </w:pPr>
      <w:r>
        <w:t>5. Exceptions and Escalation</w:t>
      </w:r>
    </w:p>
    <w:p>
      <w:pPr>
        <w:pStyle w:val="ListBullet"/>
        <w:spacing w:after="40"/>
        <w:ind w:left="340" w:hanging="170"/>
      </w:pPr>
      <w:r>
        <w:rPr>
          <w:rFonts w:ascii="Cambria" w:hAnsi="Cambria"/>
          <w:b w:val="0"/>
          <w:i w:val="0"/>
          <w:color w:val="000000"/>
          <w:sz w:val="20"/>
        </w:rPr>
        <w:t>If current controlled information is unavailable at a food-safety-critical point of use, stop or hold the affected activity where continuing could create unacceptable food safety risk, and escalate to the process owner / Food Safety Team Leader.</w:t>
      </w:r>
    </w:p>
    <w:p>
      <w:pPr>
        <w:pStyle w:val="ListBullet"/>
        <w:spacing w:after="40"/>
        <w:ind w:left="340" w:hanging="170"/>
      </w:pPr>
      <w:r>
        <w:rPr>
          <w:rFonts w:ascii="Cambria" w:hAnsi="Cambria"/>
          <w:b w:val="0"/>
          <w:i w:val="0"/>
          <w:color w:val="000000"/>
          <w:sz w:val="20"/>
        </w:rPr>
        <w:t>If an obsolete instruction is found in use, identify affected product / process records, assess food safety impact and initiate correction or corrective action as appropriate.</w:t>
      </w:r>
    </w:p>
    <w:p>
      <w:pPr>
        <w:pStyle w:val="ListBullet"/>
        <w:spacing w:after="40"/>
        <w:ind w:left="340" w:hanging="170"/>
      </w:pPr>
      <w:r>
        <w:rPr>
          <w:rFonts w:ascii="Cambria" w:hAnsi="Cambria"/>
          <w:b w:val="0"/>
          <w:i w:val="0"/>
          <w:color w:val="000000"/>
          <w:sz w:val="20"/>
        </w:rPr>
        <w:t>If a record is lost, corrupted or unreadable, evaluate whether alternate objective evidence is sufficient. Where evidence cannot be reconstructed reliably, treat the condition as a potential control failure and escalate based on risk.</w:t>
      </w:r>
    </w:p>
    <w:p>
      <w:pPr>
        <w:pStyle w:val="Heading1"/>
        <w:keepNext/>
      </w:pPr>
      <w:r>
        <w:t>6. Records</w:t>
      </w:r>
    </w:p>
    <w:p>
      <w:pPr>
        <w:pStyle w:val="ListBullet"/>
        <w:spacing w:after="40"/>
        <w:ind w:left="340" w:hanging="170"/>
      </w:pPr>
      <w:r>
        <w:rPr>
          <w:rFonts w:ascii="Cambria" w:hAnsi="Cambria"/>
          <w:b w:val="0"/>
          <w:i w:val="0"/>
          <w:color w:val="000000"/>
          <w:sz w:val="20"/>
        </w:rPr>
        <w:t>Controlled Document Register / Master List</w:t>
      </w:r>
    </w:p>
    <w:p>
      <w:pPr>
        <w:pStyle w:val="ListBullet"/>
        <w:spacing w:after="40"/>
        <w:ind w:left="340" w:hanging="170"/>
      </w:pPr>
      <w:r>
        <w:rPr>
          <w:rFonts w:ascii="Cambria" w:hAnsi="Cambria"/>
          <w:b w:val="0"/>
          <w:i w:val="0"/>
          <w:color w:val="000000"/>
          <w:sz w:val="20"/>
        </w:rPr>
        <w:t>Document Change / Revision Request</w:t>
      </w:r>
    </w:p>
    <w:p>
      <w:pPr>
        <w:pStyle w:val="ListBullet"/>
        <w:spacing w:after="40"/>
        <w:ind w:left="340" w:hanging="170"/>
      </w:pPr>
      <w:r>
        <w:rPr>
          <w:rFonts w:ascii="Cambria" w:hAnsi="Cambria"/>
          <w:b w:val="0"/>
          <w:i w:val="0"/>
          <w:color w:val="000000"/>
          <w:sz w:val="20"/>
        </w:rPr>
        <w:t>Document Review and Approval Evidence</w:t>
      </w:r>
    </w:p>
    <w:p>
      <w:pPr>
        <w:pStyle w:val="ListBullet"/>
        <w:spacing w:after="40"/>
        <w:ind w:left="340" w:hanging="170"/>
      </w:pPr>
      <w:r>
        <w:rPr>
          <w:rFonts w:ascii="Cambria" w:hAnsi="Cambria"/>
          <w:b w:val="0"/>
          <w:i w:val="0"/>
          <w:color w:val="000000"/>
          <w:sz w:val="20"/>
        </w:rPr>
        <w:t>External Document Register where used</w:t>
      </w:r>
    </w:p>
    <w:p>
      <w:pPr>
        <w:pStyle w:val="ListBullet"/>
        <w:spacing w:after="40"/>
        <w:ind w:left="340" w:hanging="170"/>
      </w:pPr>
      <w:r>
        <w:rPr>
          <w:rFonts w:ascii="Cambria" w:hAnsi="Cambria"/>
          <w:b w:val="0"/>
          <w:i w:val="0"/>
          <w:color w:val="000000"/>
          <w:sz w:val="20"/>
        </w:rPr>
        <w:t>Record Retention Schedule</w:t>
      </w:r>
    </w:p>
    <w:p>
      <w:pPr>
        <w:pStyle w:val="ListBullet"/>
        <w:spacing w:after="40"/>
        <w:ind w:left="340" w:hanging="170"/>
      </w:pPr>
      <w:r>
        <w:rPr>
          <w:rFonts w:ascii="Cambria" w:hAnsi="Cambria"/>
          <w:b w:val="0"/>
          <w:i w:val="0"/>
          <w:color w:val="000000"/>
          <w:sz w:val="20"/>
        </w:rPr>
        <w:t>Training / Communication Record for significant document changes</w:t>
      </w:r>
    </w:p>
    <w:p>
      <w:pPr>
        <w:pStyle w:val="ListBullet"/>
        <w:spacing w:after="40"/>
        <w:ind w:left="340" w:hanging="170"/>
      </w:pPr>
      <w:r>
        <w:rPr>
          <w:rFonts w:ascii="Cambria" w:hAnsi="Cambria"/>
          <w:b w:val="0"/>
          <w:i w:val="0"/>
          <w:color w:val="000000"/>
          <w:sz w:val="20"/>
        </w:rPr>
        <w:t>Archive / Disposal Record where required by the organization</w:t>
      </w:r>
    </w:p>
    <w:p>
      <w:pPr>
        <w:pStyle w:val="Heading1"/>
        <w:keepNext/>
      </w:pPr>
      <w:r>
        <w:t>7. Related Documents</w:t>
      </w:r>
    </w:p>
    <w:p>
      <w:pPr>
        <w:pStyle w:val="ListBullet"/>
        <w:spacing w:after="40"/>
        <w:ind w:left="340" w:hanging="170"/>
      </w:pPr>
      <w:r>
        <w:rPr>
          <w:rFonts w:ascii="Cambria" w:hAnsi="Cambria"/>
          <w:b w:val="0"/>
          <w:i w:val="0"/>
          <w:color w:val="000000"/>
          <w:sz w:val="20"/>
        </w:rPr>
        <w:t>Documented Information Guidance</w:t>
      </w:r>
    </w:p>
    <w:p>
      <w:pPr>
        <w:pStyle w:val="ListBullet"/>
        <w:spacing w:after="40"/>
        <w:ind w:left="340" w:hanging="170"/>
      </w:pPr>
      <w:r>
        <w:rPr>
          <w:rFonts w:ascii="Cambria" w:hAnsi="Cambria"/>
          <w:b w:val="0"/>
          <w:i w:val="0"/>
          <w:color w:val="000000"/>
          <w:sz w:val="20"/>
        </w:rPr>
        <w:t>Food Safety Management System Guidance</w:t>
      </w:r>
    </w:p>
    <w:p>
      <w:pPr>
        <w:pStyle w:val="ListBullet"/>
        <w:spacing w:after="40"/>
        <w:ind w:left="340" w:hanging="170"/>
      </w:pPr>
      <w:r>
        <w:rPr>
          <w:rFonts w:ascii="Cambria" w:hAnsi="Cambria"/>
          <w:b w:val="0"/>
          <w:i w:val="0"/>
          <w:color w:val="000000"/>
          <w:sz w:val="20"/>
        </w:rPr>
        <w:t>Food Safety Management Review Procedure</w:t>
      </w:r>
    </w:p>
    <w:p>
      <w:pPr>
        <w:pStyle w:val="ListBullet"/>
        <w:spacing w:after="40"/>
        <w:ind w:left="340" w:hanging="170"/>
      </w:pPr>
      <w:r>
        <w:rPr>
          <w:rFonts w:ascii="Cambria" w:hAnsi="Cambria"/>
          <w:b w:val="0"/>
          <w:i w:val="0"/>
          <w:color w:val="000000"/>
          <w:sz w:val="20"/>
        </w:rPr>
        <w:t>Food Safety Management Review Agenda &amp; Minutes</w:t>
      </w:r>
    </w:p>
    <w:p>
      <w:pPr>
        <w:pStyle w:val="Heading1"/>
        <w:keepNext/>
      </w:pPr>
      <w:r>
        <w:t>References</w:t>
      </w:r>
    </w:p>
    <w:p>
      <w:pPr>
        <w:pStyle w:val="ListBullet"/>
      </w:pPr>
      <w:r>
        <w:rPr>
          <w:rFonts w:ascii="Cambria" w:hAnsi="Cambria"/>
          <w:b w:val="0"/>
          <w:i w:val="0"/>
          <w:color w:val="000000"/>
          <w:sz w:val="19"/>
        </w:rPr>
        <w:t>ISO 22000:2018, Food safety management systems — Requirements for any organization in the food chain; primary relevance: Clause 7.5.</w:t>
      </w:r>
    </w:p>
    <w:p>
      <w:pPr>
        <w:pStyle w:val="ListBullet"/>
      </w:pPr>
      <w:r>
        <w:rPr>
          <w:rFonts w:ascii="Cambria" w:hAnsi="Cambria"/>
          <w:b w:val="0"/>
          <w:i w:val="0"/>
          <w:color w:val="000000"/>
          <w:sz w:val="19"/>
        </w:rPr>
        <w:t>ISO 22000:2018/Amd 1:2024, Amendment 1: Climate action changes.</w:t>
      </w:r>
    </w:p>
    <w:p>
      <w:pPr>
        <w:pStyle w:val="ListBullet"/>
      </w:pPr>
      <w:r>
        <w:rPr>
          <w:rFonts w:ascii="Cambria" w:hAnsi="Cambria"/>
          <w:b w:val="0"/>
          <w:i w:val="0"/>
          <w:color w:val="000000"/>
          <w:sz w:val="19"/>
        </w:rPr>
        <w:t>Applicable legal, regulatory, customer and sector-specific document / record retention requirements.</w:t>
      </w:r>
    </w:p>
    <w:p>
      <w:pPr>
        <w:pStyle w:val="Heading1"/>
        <w:keepNext/>
      </w:pPr>
      <w:r>
        <w:t>Revision and Approval</w:t>
      </w:r>
    </w:p>
    <w:tbl>
      <w:tblPr>
        <w:tblStyle w:val="TableGrid"/>
        <w:tblW w:type="auto" w:w="0"/>
        <w:jc w:val="center"/>
        <w:tblLayout w:type="fixed"/>
        <w:tblLook w:val="04A0"/>
      </w:tblPr>
      <w:tblGrid>
        <w:gridCol w:w="1871"/>
        <w:gridCol w:w="1871"/>
        <w:gridCol w:w="1871"/>
        <w:gridCol w:w="1871"/>
        <w:gridCol w:w="1871"/>
      </w:tblGrid>
      <w:tr>
        <w:trPr>
          <w:cantSplit/>
          <w:tblHeader w:val="true"/>
        </w:trPr>
        <w:tc>
          <w:tcPr>
            <w:tcW w:type="dxa" w:w="936"/>
            <w:vAlign w:val="center"/>
            <w:shd w:fill="D9EAF7" w:val="clear"/>
          </w:tcPr>
          <w:p>
            <w:pPr>
              <w:spacing w:after="0" w:before="0" w:line="240" w:lineRule="auto"/>
              <w:jc w:val="center"/>
            </w:pPr>
            <w:r/>
            <w:r>
              <w:rPr>
                <w:rFonts w:ascii="Cambria" w:hAnsi="Cambria"/>
                <w:b/>
                <w:i w:val="0"/>
                <w:color w:val="000000"/>
                <w:sz w:val="17"/>
              </w:rPr>
              <w:t>Version</w:t>
            </w:r>
          </w:p>
        </w:tc>
        <w:tc>
          <w:tcPr>
            <w:tcW w:type="dxa" w:w="1655"/>
            <w:vAlign w:val="center"/>
            <w:shd w:fill="D9EAF7" w:val="clear"/>
          </w:tcPr>
          <w:p>
            <w:pPr>
              <w:spacing w:after="0" w:before="0" w:line="240" w:lineRule="auto"/>
              <w:jc w:val="center"/>
            </w:pPr>
            <w:r/>
            <w:r>
              <w:rPr>
                <w:rFonts w:ascii="Cambria" w:hAnsi="Cambria"/>
                <w:b/>
                <w:i w:val="0"/>
                <w:color w:val="000000"/>
                <w:sz w:val="17"/>
              </w:rPr>
              <w:t>Date</w:t>
            </w:r>
          </w:p>
        </w:tc>
        <w:tc>
          <w:tcPr>
            <w:tcW w:type="dxa" w:w="3240"/>
            <w:vAlign w:val="center"/>
            <w:shd w:fill="D9EAF7" w:val="clear"/>
          </w:tcPr>
          <w:p>
            <w:pPr>
              <w:spacing w:after="0" w:before="0" w:line="240" w:lineRule="auto"/>
              <w:jc w:val="center"/>
            </w:pPr>
            <w:r/>
            <w:r>
              <w:rPr>
                <w:rFonts w:ascii="Cambria" w:hAnsi="Cambria"/>
                <w:b/>
                <w:i w:val="0"/>
                <w:color w:val="000000"/>
                <w:sz w:val="17"/>
              </w:rPr>
              <w:t>Change Summary</w:t>
            </w:r>
          </w:p>
        </w:tc>
        <w:tc>
          <w:tcPr>
            <w:tcW w:type="dxa" w:w="1728"/>
            <w:vAlign w:val="center"/>
            <w:shd w:fill="D9EAF7" w:val="clear"/>
          </w:tcPr>
          <w:p>
            <w:pPr>
              <w:spacing w:after="0" w:before="0" w:line="240" w:lineRule="auto"/>
              <w:jc w:val="center"/>
            </w:pPr>
            <w:r/>
            <w:r>
              <w:rPr>
                <w:rFonts w:ascii="Cambria" w:hAnsi="Cambria"/>
                <w:b/>
                <w:i w:val="0"/>
                <w:color w:val="000000"/>
                <w:sz w:val="17"/>
              </w:rPr>
              <w:t>Prepared By</w:t>
            </w:r>
          </w:p>
        </w:tc>
        <w:tc>
          <w:tcPr>
            <w:tcW w:type="dxa" w:w="1728"/>
            <w:vAlign w:val="center"/>
            <w:shd w:fill="D9EAF7" w:val="clear"/>
          </w:tcPr>
          <w:p>
            <w:pPr>
              <w:spacing w:after="0" w:before="0" w:line="240" w:lineRule="auto"/>
              <w:jc w:val="center"/>
            </w:pPr>
            <w:r/>
            <w:r>
              <w:rPr>
                <w:rFonts w:ascii="Cambria" w:hAnsi="Cambria"/>
                <w:b/>
                <w:i w:val="0"/>
                <w:color w:val="000000"/>
                <w:sz w:val="17"/>
              </w:rPr>
              <w:t>Approved By</w:t>
            </w:r>
          </w:p>
        </w:tc>
      </w:tr>
      <w:tr>
        <w:trPr>
          <w:cantSplit/>
        </w:trPr>
        <w:tc>
          <w:tcPr>
            <w:tcW w:type="dxa" w:w="936"/>
            <w:vAlign w:val="center"/>
          </w:tcPr>
          <w:p>
            <w:pPr>
              <w:spacing w:after="0" w:before="0" w:line="240" w:lineRule="auto"/>
              <w:jc w:val="left"/>
            </w:pPr>
            <w:r/>
            <w:r>
              <w:rPr>
                <w:rFonts w:ascii="Cambria" w:hAnsi="Cambria"/>
                <w:b w:val="0"/>
                <w:i w:val="0"/>
                <w:color w:val="000000"/>
                <w:sz w:val="17"/>
              </w:rPr>
              <w:t>1.0</w:t>
            </w:r>
          </w:p>
        </w:tc>
        <w:tc>
          <w:tcPr>
            <w:tcW w:type="dxa" w:w="1655"/>
            <w:vAlign w:val="center"/>
          </w:tcPr>
          <w:p>
            <w:pPr>
              <w:spacing w:after="0" w:before="0" w:line="240" w:lineRule="auto"/>
              <w:jc w:val="left"/>
            </w:pPr>
            <w:r/>
            <w:r>
              <w:rPr>
                <w:rFonts w:ascii="Cambria" w:hAnsi="Cambria"/>
                <w:b w:val="0"/>
                <w:i w:val="0"/>
                <w:color w:val="000000"/>
                <w:sz w:val="17"/>
              </w:rPr>
              <w:t>18 September 2026</w:t>
            </w:r>
          </w:p>
        </w:tc>
        <w:tc>
          <w:tcPr>
            <w:tcW w:type="dxa" w:w="3240"/>
            <w:vAlign w:val="center"/>
          </w:tcPr>
          <w:p>
            <w:pPr>
              <w:spacing w:after="0" w:before="0" w:line="240" w:lineRule="auto"/>
              <w:jc w:val="left"/>
            </w:pPr>
            <w:r/>
            <w:r>
              <w:rPr>
                <w:rFonts w:ascii="Cambria" w:hAnsi="Cambria"/>
                <w:b w:val="0"/>
                <w:i w:val="0"/>
                <w:color w:val="000000"/>
                <w:sz w:val="17"/>
              </w:rPr>
              <w:t>Initial controlled issue</w:t>
            </w:r>
          </w:p>
        </w:tc>
        <w:tc>
          <w:tcPr>
            <w:tcW w:type="dxa" w:w="1728"/>
            <w:vAlign w:val="center"/>
          </w:tcPr>
          <w:p>
            <w:pPr>
              <w:spacing w:after="0" w:before="0" w:line="240" w:lineRule="auto"/>
              <w:jc w:val="left"/>
            </w:pPr>
            <w:r/>
            <w:r>
              <w:rPr>
                <w:rFonts w:ascii="Cambria" w:hAnsi="Cambria"/>
                <w:b w:val="0"/>
                <w:i w:val="0"/>
                <w:color w:val="000000"/>
                <w:sz w:val="17"/>
              </w:rPr>
              <w:t>[DOCUMENT OWNER]</w:t>
            </w:r>
          </w:p>
        </w:tc>
        <w:tc>
          <w:tcPr>
            <w:tcW w:type="dxa" w:w="1728"/>
            <w:vAlign w:val="center"/>
          </w:tcPr>
          <w:p>
            <w:pPr>
              <w:spacing w:after="0" w:before="0" w:line="240" w:lineRule="auto"/>
              <w:jc w:val="left"/>
            </w:pPr>
            <w:r/>
            <w:r>
              <w:rPr>
                <w:rFonts w:ascii="Cambria" w:hAnsi="Cambria"/>
                <w:b w:val="0"/>
                <w:i w:val="0"/>
                <w:color w:val="000000"/>
                <w:sz w:val="17"/>
              </w:rPr>
              <w:t>[APPROVER]</w:t>
            </w:r>
          </w:p>
        </w:tc>
      </w:tr>
    </w:tbl>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pPr>
    <w:r/>
  </w:p>
  <w:tbl>
    <w:tblPr>
      <w:tblW w:type="auto" w:w="0"/>
      <w:jc w:val="center"/>
      <w:tblLayout w:type="fixed"/>
      <w:tblLook w:val="04A0"/>
    </w:tblPr>
    <w:tblGrid>
      <w:gridCol w:w="3096"/>
      <w:gridCol w:w="3096"/>
      <w:gridCol w:w="3096"/>
    </w:tblGrid>
    <w:tr>
      <w:tc>
        <w:tcPr>
          <w:tcW w:type="dxa" w:w="1800"/>
          <w:vAlign w:val="center"/>
        </w:tcPr>
        <w:p>
          <w:pPr>
            <w:spacing w:after="0" w:before="0" w:line="240" w:lineRule="auto"/>
            <w:jc w:val="left"/>
          </w:pPr>
          <w:r/>
          <w:r>
            <w:rPr>
              <w:rFonts w:ascii="Cambria" w:hAnsi="Cambria"/>
              <w:b/>
              <w:i w:val="0"/>
              <w:color w:val="000000"/>
              <w:sz w:val="16"/>
            </w:rPr>
            <w:t>INTERNAL</w:t>
          </w:r>
        </w:p>
      </w:tc>
      <w:tc>
        <w:tcPr>
          <w:tcW w:type="dxa" w:w="5544"/>
          <w:vAlign w:val="center"/>
        </w:tcPr>
        <w:p>
          <w:pPr>
            <w:spacing w:after="0" w:before="0" w:line="240" w:lineRule="auto"/>
            <w:jc w:val="center"/>
          </w:pPr>
          <w:r/>
          <w:r>
            <w:rPr>
              <w:rFonts w:ascii="Cambria" w:hAnsi="Cambria"/>
              <w:b w:val="0"/>
              <w:i w:val="0"/>
              <w:color w:val="000000"/>
              <w:sz w:val="15"/>
            </w:rPr>
            <w:t>www.iso-toolkits.org  |  info@iso-toolkits.org</w:t>
          </w:r>
        </w:p>
      </w:tc>
      <w:tc>
        <w:tcPr>
          <w:tcW w:type="dxa" w:w="1944"/>
        </w:tcPr>
        <w:p>
          <w:pPr>
            <w:jc w:val="right"/>
          </w:pPr>
          <w:r/>
          <w:r>
            <w:rPr>
              <w:rFonts w:ascii="Cambria" w:hAnsi="Cambria"/>
              <w:b w:val="0"/>
              <w:i w:val="0"/>
              <w:color w:val="000000"/>
              <w:sz w:val="16"/>
            </w:rPr>
            <w:t xml:space="preserve">Page </w:t>
          </w:r>
          <w:r>
            <w:rPr>
              <w:rFonts w:ascii="Cambria" w:hAnsi="Cambria"/>
              <w:b w:val="0"/>
              <w:i w:val="0"/>
              <w:color w:val="000000"/>
              <w:sz w:val="16"/>
            </w:rPr>
            <w:fldChar w:fldCharType="begin"/>
            <w:instrText xml:space="preserve"> PAGE </w:instrText>
            <w:fldChar w:fldCharType="end"/>
          </w:r>
          <w:r>
            <w:rPr>
              <w:rFonts w:ascii="Cambria" w:hAnsi="Cambria"/>
              <w:b w:val="0"/>
              <w:i w:val="0"/>
              <w:color w:val="000000"/>
              <w:sz w:val="16"/>
            </w:rPr>
            <w:t xml:space="preserve"> of </w:t>
          </w:r>
          <w:r>
            <w:rPr>
              <w:rFonts w:ascii="Cambria" w:hAnsi="Cambria"/>
              <w:b w:val="0"/>
              <w:i w:val="0"/>
              <w:color w:val="000000"/>
              <w:sz w:val="16"/>
            </w:rPr>
            <w:fldChar w:fldCharType="begin"/>
            <w:instrText xml:space="preserve"> NUMPAGES </w:instrText>
            <w:fldChar w:fldCharType="end"/>
          </w:r>
        </w:p>
      </w:tc>
    </w:tr>
  </w:tbl>
</w:ftr>
</file>

<file path=word/header1.xml><?xml version="1.0" encoding="utf-8"?>
<w:hdr xmlns:w="http://schemas.openxmlformats.org/wordprocessingml/2006/main">
  <w:p>
    <w:pPr>
      <w:pStyle w:val="Header"/>
      <w:spacing w:after="0" w:before="0"/>
    </w:pPr>
    <w:r/>
  </w:p>
  <w:tbl>
    <w:tblPr>
      <w:tblStyle w:val="TableGrid"/>
      <w:tblW w:type="auto" w:w="0"/>
      <w:jc w:val="center"/>
      <w:tblLayout w:type="fixed"/>
      <w:tblLook w:val="04A0"/>
    </w:tblPr>
    <w:tblGrid>
      <w:gridCol w:w="3096"/>
      <w:gridCol w:w="3096"/>
      <w:gridCol w:w="3096"/>
    </w:tblGrid>
    <w:tr>
      <w:tc>
        <w:tcPr>
          <w:tcW w:type="dxa" w:w="1800"/>
          <w:vAlign w:val="center"/>
          <w:shd w:fill="F2F2F2" w:val="clear"/>
        </w:tcPr>
        <w:p>
          <w:pPr>
            <w:spacing w:after="0" w:before="0" w:line="240" w:lineRule="auto"/>
            <w:jc w:val="center"/>
          </w:pPr>
          <w:r/>
          <w:r>
            <w:rPr>
              <w:rFonts w:ascii="Cambria" w:hAnsi="Cambria"/>
              <w:b/>
              <w:i w:val="0"/>
              <w:color w:val="000000"/>
              <w:sz w:val="16"/>
            </w:rPr>
            <w:t>ORGANIZATION</w:t>
            <w:br/>
            <w:t>LOGO</w:t>
          </w:r>
        </w:p>
      </w:tc>
      <w:tc>
        <w:tcPr>
          <w:tcW w:type="dxa" w:w="5544"/>
          <w:vAlign w:val="center"/>
        </w:tcPr>
        <w:p>
          <w:pPr>
            <w:spacing w:after="0" w:before="0" w:line="240" w:lineRule="auto"/>
            <w:jc w:val="center"/>
          </w:pPr>
          <w:r/>
          <w:r>
            <w:rPr>
              <w:rFonts w:ascii="Cambria" w:hAnsi="Cambria"/>
              <w:b/>
              <w:i w:val="0"/>
              <w:color w:val="000000"/>
              <w:sz w:val="16"/>
            </w:rPr>
            <w:t>[ORGANIZATION NAME]</w:t>
            <w:br/>
            <w:t>Documented Information Procedure</w:t>
          </w:r>
        </w:p>
      </w:tc>
      <w:tc>
        <w:tcPr>
          <w:tcW w:type="dxa" w:w="1944"/>
          <w:vAlign w:val="center"/>
        </w:tcPr>
        <w:p>
          <w:pPr>
            <w:spacing w:after="0" w:before="0" w:line="240" w:lineRule="auto"/>
            <w:jc w:val="center"/>
          </w:pPr>
          <w:r/>
          <w:r>
            <w:rPr>
              <w:rFonts w:ascii="Cambria" w:hAnsi="Cambria"/>
              <w:b w:val="0"/>
              <w:i w:val="0"/>
              <w:color w:val="000000"/>
              <w:sz w:val="15"/>
            </w:rPr>
            <w:t>FSMS-PRO-001</w:t>
            <w:br/>
            <w:t>Version 1.0</w:t>
            <w:br/>
            <w:t>18 September 2026</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Cambria" w:hAnsi="Cambria"/>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Cambria" w:hAnsi="Cambria"/>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Cambria" w:hAnsi="Cambr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80" w:line="259" w:lineRule="auto"/>
    </w:pPr>
    <w:rPr>
      <w:rFonts w:ascii="Cambria" w:hAnsi="Cambria"/>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mbria" w:hAnsi="Cambria"/>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itle>Documented Information Procedure</dc:title>
  <dc:subject>Control of documented information for an ISO 22000 FSMS</dc:subject>
  <dc:creator>ISO Toolkits</dc:creator>
  <cp:keywords>ISO 22000, FSMS, food safety, documented information, management review</cp:keywords>
  <dc:description>Practical procedure for creating, approving, issuing, changing, protecting, retaining and disposing of FSMS documented information.</dc:description>
  <cp:lastModifiedBy>ISO Toolkits</cp:lastModifiedBy>
  <cp:revision>1</cp:revision>
  <dcterms:created xsi:type="dcterms:W3CDTF">2013-12-23T23:15:00Z</dcterms:created>
  <dcterms:modified xsi:type="dcterms:W3CDTF">2013-12-23T23:15:00Z</dcterms:modified>
  <cp:category>ISO 22000 Toolkit</cp:category>
</cp:coreProperties>
</file>