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pStyle w:val="Title"/>
        <w:spacing w:after="60"/>
        <w:jc w:val="center"/>
      </w:pPr>
      <w:r>
        <w:rPr>
          <w:rFonts w:ascii="Cambria" w:hAnsi="Cambria"/>
          <w:b/>
          <w:i w:val="0"/>
          <w:color w:val="1F4E79"/>
          <w:sz w:val="40"/>
        </w:rPr>
        <w:t>Documented Information Guidance</w:t>
      </w:r>
    </w:p>
    <w:p>
      <w:pPr>
        <w:spacing w:after="200"/>
        <w:jc w:val="center"/>
      </w:pPr>
      <w:r>
        <w:rPr>
          <w:rFonts w:ascii="Cambria" w:hAnsi="Cambria"/>
          <w:b/>
          <w:i w:val="0"/>
          <w:color w:val="1F4E79"/>
          <w:sz w:val="21"/>
        </w:rPr>
        <w:t>ISO 22000 FOOD SAFETY MANAGEMENT SYSTEM</w:t>
      </w:r>
    </w:p>
    <w:tbl>
      <w:tblPr>
        <w:tblStyle w:val="TableGrid"/>
        <w:tblW w:type="auto" w:w="0"/>
        <w:jc w:val="center"/>
        <w:tblLayout w:type="fixed"/>
        <w:tblLook w:val="04A0"/>
      </w:tblPr>
      <w:tblGrid>
        <w:gridCol w:w="4677"/>
        <w:gridCol w:w="4677"/>
      </w:tblGrid>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Document Code</w:t>
            </w:r>
          </w:p>
        </w:tc>
        <w:tc>
          <w:tcPr>
            <w:tcW w:type="dxa" w:w="6768"/>
            <w:vAlign w:val="center"/>
          </w:tcPr>
          <w:p>
            <w:pPr>
              <w:spacing w:after="0" w:before="0" w:line="240" w:lineRule="auto"/>
              <w:jc w:val="left"/>
            </w:pPr>
            <w:r/>
            <w:r>
              <w:rPr>
                <w:rFonts w:ascii="Cambria" w:hAnsi="Cambria"/>
                <w:b w:val="0"/>
                <w:i w:val="0"/>
                <w:color w:val="000000"/>
                <w:sz w:val="18"/>
              </w:rPr>
              <w:t>FSMS-GUI-001</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Document Type</w:t>
            </w:r>
          </w:p>
        </w:tc>
        <w:tc>
          <w:tcPr>
            <w:tcW w:type="dxa" w:w="6768"/>
            <w:vAlign w:val="center"/>
          </w:tcPr>
          <w:p>
            <w:pPr>
              <w:spacing w:after="0" w:before="0" w:line="240" w:lineRule="auto"/>
              <w:jc w:val="left"/>
            </w:pPr>
            <w:r/>
            <w:r>
              <w:rPr>
                <w:rFonts w:ascii="Cambria" w:hAnsi="Cambria"/>
                <w:b w:val="0"/>
                <w:i w:val="0"/>
                <w:color w:val="000000"/>
                <w:sz w:val="18"/>
              </w:rPr>
              <w:t>Guidance</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Version</w:t>
            </w:r>
          </w:p>
        </w:tc>
        <w:tc>
          <w:tcPr>
            <w:tcW w:type="dxa" w:w="6768"/>
            <w:vAlign w:val="center"/>
          </w:tcPr>
          <w:p>
            <w:pPr>
              <w:spacing w:after="0" w:before="0" w:line="240" w:lineRule="auto"/>
              <w:jc w:val="left"/>
            </w:pPr>
            <w:r/>
            <w:r>
              <w:rPr>
                <w:rFonts w:ascii="Cambria" w:hAnsi="Cambria"/>
                <w:b w:val="0"/>
                <w:i w:val="0"/>
                <w:color w:val="000000"/>
                <w:sz w:val="18"/>
              </w:rPr>
              <w:t>1.0</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Effective Date</w:t>
            </w:r>
          </w:p>
        </w:tc>
        <w:tc>
          <w:tcPr>
            <w:tcW w:type="dxa" w:w="6768"/>
            <w:vAlign w:val="center"/>
          </w:tcPr>
          <w:p>
            <w:pPr>
              <w:spacing w:after="0" w:before="0" w:line="240" w:lineRule="auto"/>
              <w:jc w:val="left"/>
            </w:pPr>
            <w:r/>
            <w:r>
              <w:rPr>
                <w:rFonts w:ascii="Cambria" w:hAnsi="Cambria"/>
                <w:b w:val="0"/>
                <w:i w:val="0"/>
                <w:color w:val="000000"/>
                <w:sz w:val="18"/>
              </w:rPr>
              <w:t>18 September 2026</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Next Review Date</w:t>
            </w:r>
          </w:p>
        </w:tc>
        <w:tc>
          <w:tcPr>
            <w:tcW w:type="dxa" w:w="6768"/>
            <w:vAlign w:val="center"/>
          </w:tcPr>
          <w:p>
            <w:pPr>
              <w:spacing w:after="0" w:before="0" w:line="240" w:lineRule="auto"/>
              <w:jc w:val="left"/>
            </w:pPr>
            <w:r/>
            <w:r>
              <w:rPr>
                <w:rFonts w:ascii="Cambria" w:hAnsi="Cambria"/>
                <w:b w:val="0"/>
                <w:i w:val="0"/>
                <w:color w:val="000000"/>
                <w:sz w:val="18"/>
              </w:rPr>
              <w:t>18 September 2027</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Document Owner</w:t>
            </w:r>
          </w:p>
        </w:tc>
        <w:tc>
          <w:tcPr>
            <w:tcW w:type="dxa" w:w="6768"/>
            <w:vAlign w:val="center"/>
          </w:tcPr>
          <w:p>
            <w:pPr>
              <w:spacing w:after="0" w:before="0" w:line="240" w:lineRule="auto"/>
              <w:jc w:val="left"/>
            </w:pPr>
            <w:r/>
            <w:r>
              <w:rPr>
                <w:rFonts w:ascii="Cambria" w:hAnsi="Cambria"/>
                <w:b w:val="0"/>
                <w:i w:val="0"/>
                <w:color w:val="000000"/>
                <w:sz w:val="18"/>
              </w:rPr>
              <w:t>Food Safety Team Leader / Document Control Owner</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Approver</w:t>
            </w:r>
          </w:p>
        </w:tc>
        <w:tc>
          <w:tcPr>
            <w:tcW w:type="dxa" w:w="6768"/>
            <w:vAlign w:val="center"/>
          </w:tcPr>
          <w:p>
            <w:pPr>
              <w:spacing w:after="0" w:before="0" w:line="240" w:lineRule="auto"/>
              <w:jc w:val="left"/>
            </w:pPr>
            <w:r/>
            <w:r>
              <w:rPr>
                <w:rFonts w:ascii="Cambria" w:hAnsi="Cambria"/>
                <w:b w:val="0"/>
                <w:i w:val="0"/>
                <w:color w:val="000000"/>
                <w:sz w:val="18"/>
              </w:rPr>
              <w:t>[APPROVER]</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Classification</w:t>
            </w:r>
          </w:p>
        </w:tc>
        <w:tc>
          <w:tcPr>
            <w:tcW w:type="dxa" w:w="6768"/>
            <w:vAlign w:val="center"/>
          </w:tcPr>
          <w:p>
            <w:pPr>
              <w:spacing w:after="0" w:before="0" w:line="240" w:lineRule="auto"/>
              <w:jc w:val="left"/>
            </w:pPr>
            <w:r/>
            <w:r>
              <w:rPr>
                <w:rFonts w:ascii="Cambria" w:hAnsi="Cambria"/>
                <w:b w:val="0"/>
                <w:i w:val="0"/>
                <w:color w:val="000000"/>
                <w:sz w:val="18"/>
              </w:rPr>
              <w:t>INTERNAL</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Applicable Standard</w:t>
            </w:r>
          </w:p>
        </w:tc>
        <w:tc>
          <w:tcPr>
            <w:tcW w:type="dxa" w:w="6768"/>
            <w:vAlign w:val="center"/>
          </w:tcPr>
          <w:p>
            <w:pPr>
              <w:spacing w:after="0" w:before="0" w:line="240" w:lineRule="auto"/>
              <w:jc w:val="left"/>
            </w:pPr>
            <w:r/>
            <w:r>
              <w:rPr>
                <w:rFonts w:ascii="Cambria" w:hAnsi="Cambria"/>
                <w:b w:val="0"/>
                <w:i w:val="0"/>
                <w:color w:val="000000"/>
                <w:sz w:val="18"/>
              </w:rPr>
              <w:t>ISO 22000:2018 + Amendment 1:2024</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Review Cycle</w:t>
            </w:r>
          </w:p>
        </w:tc>
        <w:tc>
          <w:tcPr>
            <w:tcW w:type="dxa" w:w="6768"/>
            <w:vAlign w:val="center"/>
          </w:tcPr>
          <w:p>
            <w:pPr>
              <w:spacing w:after="0" w:before="0" w:line="240" w:lineRule="auto"/>
              <w:jc w:val="left"/>
            </w:pPr>
            <w:r/>
            <w:r>
              <w:rPr>
                <w:rFonts w:ascii="Cambria" w:hAnsi="Cambria"/>
                <w:b w:val="0"/>
                <w:i w:val="0"/>
                <w:color w:val="000000"/>
                <w:sz w:val="18"/>
              </w:rPr>
              <w:t>ANNUAL</w:t>
            </w:r>
          </w:p>
        </w:tc>
      </w:tr>
    </w:tbl>
    <w:p>
      <w:pPr>
        <w:keepLines/>
        <w:spacing w:before="80" w:after="120"/>
      </w:pPr>
      <w:r>
        <w:rPr>
          <w:rFonts w:ascii="Cambria" w:hAnsi="Cambria"/>
          <w:b/>
          <w:i/>
          <w:color w:val="C00000"/>
          <w:sz w:val="19"/>
        </w:rPr>
        <w:t xml:space="preserve">[Note] </w:t>
      </w:r>
      <w:r>
        <w:rPr>
          <w:rFonts w:ascii="Cambria" w:hAnsi="Cambria"/>
          <w:b w:val="0"/>
          <w:i/>
          <w:color w:val="C00000"/>
          <w:sz w:val="19"/>
        </w:rPr>
        <w:t>Replace organization-specific placeholders and confirm applicable legal, regulatory, customer and sector requirements before controlled release.</w:t>
      </w:r>
    </w:p>
    <w:p/>
    <w:p>
      <w:pPr>
        <w:pStyle w:val="Heading1"/>
        <w:keepNext/>
      </w:pPr>
      <w:r>
        <w:t>1. How to Use This Guidance</w:t>
      </w:r>
    </w:p>
    <w:p>
      <w:pPr>
        <w:pStyle w:val="BodyText"/>
      </w:pPr>
      <w:r>
        <w:rPr>
          <w:rFonts w:ascii="Cambria" w:hAnsi="Cambria"/>
          <w:b w:val="0"/>
          <w:i w:val="0"/>
          <w:color w:val="000000"/>
          <w:sz w:val="21"/>
        </w:rPr>
        <w:t>Use this guidance when deciding what FSMS information needs formal control, how to structure it, what approval and revision level is appropriate, and what records should be retained as evidence. It is intended to support the Documented Information Procedure; it does not replace organization-specific legal, regulatory or customer requirements.</w:t>
      </w:r>
    </w:p>
    <w:p>
      <w:pPr>
        <w:pStyle w:val="Heading1"/>
        <w:keepNext/>
      </w:pPr>
      <w:r>
        <w:t>2. Practical Principle: Control What Matters</w:t>
      </w:r>
    </w:p>
    <w:p>
      <w:pPr>
        <w:pStyle w:val="BodyText"/>
      </w:pPr>
      <w:r>
        <w:rPr>
          <w:rFonts w:ascii="Cambria" w:hAnsi="Cambria"/>
          <w:b w:val="0"/>
          <w:i w:val="0"/>
          <w:color w:val="000000"/>
          <w:sz w:val="21"/>
        </w:rPr>
        <w:t>Document control should be proportionate to the consequence of using wrong, outdated or incomplete information. Food-safety-critical specifications, hazard-control instructions, monitoring records and traceability information require stronger controls than low-risk administrative guidance.</w:t>
      </w:r>
    </w:p>
    <w:tbl>
      <w:tblPr>
        <w:tblStyle w:val="TableGrid"/>
        <w:tblW w:type="auto" w:w="0"/>
        <w:jc w:val="center"/>
        <w:tblLayout w:type="fixed"/>
        <w:tblLook w:val="04A0"/>
      </w:tblPr>
      <w:tblGrid>
        <w:gridCol w:w="4677"/>
        <w:gridCol w:w="4677"/>
      </w:tblGrid>
      <w:tr>
        <w:trPr>
          <w:cantSplit/>
          <w:tblHeader w:val="true"/>
        </w:trPr>
        <w:tc>
          <w:tcPr>
            <w:tcW w:type="dxa" w:w="4320"/>
            <w:vAlign w:val="center"/>
            <w:shd w:fill="D9EAF7" w:val="clear"/>
          </w:tcPr>
          <w:p>
            <w:pPr>
              <w:spacing w:after="0" w:before="0" w:line="240" w:lineRule="auto"/>
              <w:jc w:val="center"/>
            </w:pPr>
            <w:r/>
            <w:r>
              <w:rPr>
                <w:rFonts w:ascii="Cambria" w:hAnsi="Cambria"/>
                <w:b/>
                <w:i w:val="0"/>
                <w:color w:val="000000"/>
                <w:sz w:val="18"/>
              </w:rPr>
              <w:t>Question</w:t>
            </w:r>
          </w:p>
        </w:tc>
        <w:tc>
          <w:tcPr>
            <w:tcW w:type="dxa" w:w="4968"/>
            <w:vAlign w:val="center"/>
            <w:shd w:fill="D9EAF7" w:val="clear"/>
          </w:tcPr>
          <w:p>
            <w:pPr>
              <w:spacing w:after="0" w:before="0" w:line="240" w:lineRule="auto"/>
              <w:jc w:val="center"/>
            </w:pPr>
            <w:r/>
            <w:r>
              <w:rPr>
                <w:rFonts w:ascii="Cambria" w:hAnsi="Cambria"/>
                <w:b/>
                <w:i w:val="0"/>
                <w:color w:val="000000"/>
                <w:sz w:val="18"/>
              </w:rPr>
              <w:t>If Yes, Stronger Control Is Usually Needed</w:t>
            </w:r>
          </w:p>
        </w:tc>
      </w:tr>
      <w:tr>
        <w:trPr>
          <w:cantSplit/>
        </w:trPr>
        <w:tc>
          <w:tcPr>
            <w:tcW w:type="dxa" w:w="4320"/>
            <w:vAlign w:val="center"/>
          </w:tcPr>
          <w:p>
            <w:pPr>
              <w:spacing w:after="0" w:before="0" w:line="240" w:lineRule="auto"/>
              <w:jc w:val="left"/>
            </w:pPr>
            <w:r/>
            <w:r>
              <w:rPr>
                <w:rFonts w:ascii="Cambria" w:hAnsi="Cambria"/>
                <w:b w:val="0"/>
                <w:i w:val="0"/>
                <w:color w:val="000000"/>
                <w:sz w:val="18"/>
              </w:rPr>
              <w:t>Could an incorrect version affect food safety?</w:t>
            </w:r>
          </w:p>
        </w:tc>
        <w:tc>
          <w:tcPr>
            <w:tcW w:type="dxa" w:w="4968"/>
            <w:vAlign w:val="center"/>
          </w:tcPr>
          <w:p>
            <w:pPr>
              <w:spacing w:after="0" w:before="0" w:line="240" w:lineRule="auto"/>
              <w:jc w:val="left"/>
            </w:pPr>
            <w:r/>
            <w:r>
              <w:rPr>
                <w:rFonts w:ascii="Cambria" w:hAnsi="Cambria"/>
                <w:b w:val="0"/>
                <w:i w:val="0"/>
                <w:color w:val="000000"/>
                <w:sz w:val="18"/>
              </w:rPr>
              <w:t>Require formal approval, clear version status and controlled distribution.</w:t>
            </w:r>
          </w:p>
        </w:tc>
      </w:tr>
      <w:tr>
        <w:trPr>
          <w:cantSplit/>
        </w:trPr>
        <w:tc>
          <w:tcPr>
            <w:tcW w:type="dxa" w:w="4320"/>
            <w:vAlign w:val="center"/>
          </w:tcPr>
          <w:p>
            <w:pPr>
              <w:spacing w:after="0" w:before="0" w:line="240" w:lineRule="auto"/>
              <w:jc w:val="left"/>
            </w:pPr>
            <w:r/>
            <w:r>
              <w:rPr>
                <w:rFonts w:ascii="Cambria" w:hAnsi="Cambria"/>
                <w:b w:val="0"/>
                <w:i w:val="0"/>
                <w:color w:val="000000"/>
                <w:sz w:val="18"/>
              </w:rPr>
              <w:t>Is the information used to make product release or hazard-control decisions?</w:t>
            </w:r>
          </w:p>
        </w:tc>
        <w:tc>
          <w:tcPr>
            <w:tcW w:type="dxa" w:w="4968"/>
            <w:vAlign w:val="center"/>
          </w:tcPr>
          <w:p>
            <w:pPr>
              <w:spacing w:after="0" w:before="0" w:line="240" w:lineRule="auto"/>
              <w:jc w:val="left"/>
            </w:pPr>
            <w:r/>
            <w:r>
              <w:rPr>
                <w:rFonts w:ascii="Cambria" w:hAnsi="Cambria"/>
                <w:b w:val="0"/>
                <w:i w:val="0"/>
                <w:color w:val="000000"/>
                <w:sz w:val="18"/>
              </w:rPr>
              <w:t>Protect integrity, retrievability and authorized changes.</w:t>
            </w:r>
          </w:p>
        </w:tc>
      </w:tr>
      <w:tr>
        <w:trPr>
          <w:cantSplit/>
        </w:trPr>
        <w:tc>
          <w:tcPr>
            <w:tcW w:type="dxa" w:w="4320"/>
            <w:vAlign w:val="center"/>
          </w:tcPr>
          <w:p>
            <w:pPr>
              <w:spacing w:after="0" w:before="0" w:line="240" w:lineRule="auto"/>
              <w:jc w:val="left"/>
            </w:pPr>
            <w:r/>
            <w:r>
              <w:rPr>
                <w:rFonts w:ascii="Cambria" w:hAnsi="Cambria"/>
                <w:b w:val="0"/>
                <w:i w:val="0"/>
                <w:color w:val="000000"/>
                <w:sz w:val="18"/>
              </w:rPr>
              <w:t>Does it provide evidence to regulators, customers or certification auditors?</w:t>
            </w:r>
          </w:p>
        </w:tc>
        <w:tc>
          <w:tcPr>
            <w:tcW w:type="dxa" w:w="4968"/>
            <w:vAlign w:val="center"/>
          </w:tcPr>
          <w:p>
            <w:pPr>
              <w:spacing w:after="0" w:before="0" w:line="240" w:lineRule="auto"/>
              <w:jc w:val="left"/>
            </w:pPr>
            <w:r/>
            <w:r>
              <w:rPr>
                <w:rFonts w:ascii="Cambria" w:hAnsi="Cambria"/>
                <w:b w:val="0"/>
                <w:i w:val="0"/>
                <w:color w:val="000000"/>
                <w:sz w:val="18"/>
              </w:rPr>
              <w:t>Define retention, access and traceability.</w:t>
            </w:r>
          </w:p>
        </w:tc>
      </w:tr>
      <w:tr>
        <w:trPr>
          <w:cantSplit/>
        </w:trPr>
        <w:tc>
          <w:tcPr>
            <w:tcW w:type="dxa" w:w="4320"/>
            <w:vAlign w:val="center"/>
          </w:tcPr>
          <w:p>
            <w:pPr>
              <w:spacing w:after="0" w:before="0" w:line="240" w:lineRule="auto"/>
              <w:jc w:val="left"/>
            </w:pPr>
            <w:r/>
            <w:r>
              <w:rPr>
                <w:rFonts w:ascii="Cambria" w:hAnsi="Cambria"/>
                <w:b w:val="0"/>
                <w:i w:val="0"/>
                <w:color w:val="000000"/>
                <w:sz w:val="18"/>
              </w:rPr>
              <w:t>Can a change alter PRPs, OPRPs, CCPs, allergen controls or traceability?</w:t>
            </w:r>
          </w:p>
        </w:tc>
        <w:tc>
          <w:tcPr>
            <w:tcW w:type="dxa" w:w="4968"/>
            <w:vAlign w:val="center"/>
          </w:tcPr>
          <w:p>
            <w:pPr>
              <w:spacing w:after="0" w:before="0" w:line="240" w:lineRule="auto"/>
              <w:jc w:val="left"/>
            </w:pPr>
            <w:r/>
            <w:r>
              <w:rPr>
                <w:rFonts w:ascii="Cambria" w:hAnsi="Cambria"/>
                <w:b w:val="0"/>
                <w:i w:val="0"/>
                <w:color w:val="000000"/>
                <w:sz w:val="18"/>
              </w:rPr>
              <w:t>Require food safety technical review before release.</w:t>
            </w:r>
          </w:p>
        </w:tc>
      </w:tr>
      <w:tr>
        <w:trPr>
          <w:cantSplit/>
        </w:trPr>
        <w:tc>
          <w:tcPr>
            <w:tcW w:type="dxa" w:w="4320"/>
            <w:vAlign w:val="center"/>
          </w:tcPr>
          <w:p>
            <w:pPr>
              <w:spacing w:after="0" w:before="0" w:line="240" w:lineRule="auto"/>
              <w:jc w:val="left"/>
            </w:pPr>
            <w:r/>
            <w:r>
              <w:rPr>
                <w:rFonts w:ascii="Cambria" w:hAnsi="Cambria"/>
                <w:b w:val="0"/>
                <w:i w:val="0"/>
                <w:color w:val="000000"/>
                <w:sz w:val="18"/>
              </w:rPr>
              <w:t>Is it external information that changes over time?</w:t>
            </w:r>
          </w:p>
        </w:tc>
        <w:tc>
          <w:tcPr>
            <w:tcW w:type="dxa" w:w="4968"/>
            <w:vAlign w:val="center"/>
          </w:tcPr>
          <w:p>
            <w:pPr>
              <w:spacing w:after="0" w:before="0" w:line="240" w:lineRule="auto"/>
              <w:jc w:val="left"/>
            </w:pPr>
            <w:r/>
            <w:r>
              <w:rPr>
                <w:rFonts w:ascii="Cambria" w:hAnsi="Cambria"/>
                <w:b w:val="0"/>
                <w:i w:val="0"/>
                <w:color w:val="000000"/>
                <w:sz w:val="18"/>
              </w:rPr>
              <w:t>Assign an owner to monitor source currency and assess updates.</w:t>
            </w:r>
          </w:p>
        </w:tc>
      </w:tr>
    </w:tbl>
    <w:p>
      <w:pPr>
        <w:pStyle w:val="Heading1"/>
        <w:keepNext/>
      </w:pPr>
      <w:r>
        <w:t>3. Recommended FSMS Document Architecture</w:t>
      </w:r>
    </w:p>
    <w:tbl>
      <w:tblPr>
        <w:tblStyle w:val="TableGrid"/>
        <w:tblW w:type="auto" w:w="0"/>
        <w:jc w:val="center"/>
        <w:tblLayout w:type="fixed"/>
        <w:tblLook w:val="04A0"/>
      </w:tblPr>
      <w:tblGrid>
        <w:gridCol w:w="3118"/>
        <w:gridCol w:w="3118"/>
        <w:gridCol w:w="3118"/>
      </w:tblGrid>
      <w:tr>
        <w:trPr>
          <w:cantSplit/>
          <w:tblHeader w:val="true"/>
        </w:trPr>
        <w:tc>
          <w:tcPr>
            <w:tcW w:type="dxa" w:w="1440"/>
            <w:vAlign w:val="center"/>
            <w:shd w:fill="D9EAF7" w:val="clear"/>
          </w:tcPr>
          <w:p>
            <w:pPr>
              <w:spacing w:after="0" w:before="0" w:line="240" w:lineRule="auto"/>
              <w:jc w:val="center"/>
            </w:pPr>
            <w:r/>
            <w:r>
              <w:rPr>
                <w:rFonts w:ascii="Cambria" w:hAnsi="Cambria"/>
                <w:b/>
                <w:i w:val="0"/>
                <w:color w:val="000000"/>
                <w:sz w:val="17"/>
              </w:rPr>
              <w:t>Layer</w:t>
            </w:r>
          </w:p>
        </w:tc>
        <w:tc>
          <w:tcPr>
            <w:tcW w:type="dxa" w:w="4031"/>
            <w:vAlign w:val="center"/>
            <w:shd w:fill="D9EAF7" w:val="clear"/>
          </w:tcPr>
          <w:p>
            <w:pPr>
              <w:spacing w:after="0" w:before="0" w:line="240" w:lineRule="auto"/>
              <w:jc w:val="center"/>
            </w:pPr>
            <w:r/>
            <w:r>
              <w:rPr>
                <w:rFonts w:ascii="Cambria" w:hAnsi="Cambria"/>
                <w:b/>
                <w:i w:val="0"/>
                <w:color w:val="000000"/>
                <w:sz w:val="17"/>
              </w:rPr>
              <w:t>Typical Content</w:t>
            </w:r>
          </w:p>
        </w:tc>
        <w:tc>
          <w:tcPr>
            <w:tcW w:type="dxa" w:w="3816"/>
            <w:vAlign w:val="center"/>
            <w:shd w:fill="D9EAF7" w:val="clear"/>
          </w:tcPr>
          <w:p>
            <w:pPr>
              <w:spacing w:after="0" w:before="0" w:line="240" w:lineRule="auto"/>
              <w:jc w:val="center"/>
            </w:pPr>
            <w:r/>
            <w:r>
              <w:rPr>
                <w:rFonts w:ascii="Cambria" w:hAnsi="Cambria"/>
                <w:b/>
                <w:i w:val="0"/>
                <w:color w:val="000000"/>
                <w:sz w:val="17"/>
              </w:rPr>
              <w:t>Control Focus</w:t>
            </w:r>
          </w:p>
        </w:tc>
      </w:tr>
      <w:tr>
        <w:trPr>
          <w:cantSplit/>
        </w:trPr>
        <w:tc>
          <w:tcPr>
            <w:tcW w:type="dxa" w:w="1440"/>
            <w:vAlign w:val="center"/>
          </w:tcPr>
          <w:p>
            <w:pPr>
              <w:spacing w:after="0" w:before="0" w:line="240" w:lineRule="auto"/>
              <w:jc w:val="left"/>
            </w:pPr>
            <w:r/>
            <w:r>
              <w:rPr>
                <w:rFonts w:ascii="Cambria" w:hAnsi="Cambria"/>
                <w:b w:val="0"/>
                <w:i w:val="0"/>
                <w:color w:val="000000"/>
                <w:sz w:val="17"/>
              </w:rPr>
              <w:t>Governance</w:t>
            </w:r>
          </w:p>
        </w:tc>
        <w:tc>
          <w:tcPr>
            <w:tcW w:type="dxa" w:w="4031"/>
            <w:vAlign w:val="center"/>
          </w:tcPr>
          <w:p>
            <w:pPr>
              <w:spacing w:after="0" w:before="0" w:line="240" w:lineRule="auto"/>
              <w:jc w:val="left"/>
            </w:pPr>
            <w:r/>
            <w:r>
              <w:rPr>
                <w:rFonts w:ascii="Cambria" w:hAnsi="Cambria"/>
                <w:b w:val="0"/>
                <w:i w:val="0"/>
                <w:color w:val="000000"/>
                <w:sz w:val="17"/>
              </w:rPr>
              <w:t>Food safety policy, FSMS scope, objectives, high-level responsibilities.</w:t>
            </w:r>
          </w:p>
        </w:tc>
        <w:tc>
          <w:tcPr>
            <w:tcW w:type="dxa" w:w="3816"/>
            <w:vAlign w:val="center"/>
          </w:tcPr>
          <w:p>
            <w:pPr>
              <w:spacing w:after="0" w:before="0" w:line="240" w:lineRule="auto"/>
              <w:jc w:val="left"/>
            </w:pPr>
            <w:r/>
            <w:r>
              <w:rPr>
                <w:rFonts w:ascii="Cambria" w:hAnsi="Cambria"/>
                <w:b w:val="0"/>
                <w:i w:val="0"/>
                <w:color w:val="000000"/>
                <w:sz w:val="17"/>
              </w:rPr>
              <w:t>Leadership approval; current scope and commitments.</w:t>
            </w:r>
          </w:p>
        </w:tc>
      </w:tr>
      <w:tr>
        <w:trPr>
          <w:cantSplit/>
        </w:trPr>
        <w:tc>
          <w:tcPr>
            <w:tcW w:type="dxa" w:w="1440"/>
            <w:vAlign w:val="center"/>
          </w:tcPr>
          <w:p>
            <w:pPr>
              <w:spacing w:after="0" w:before="0" w:line="240" w:lineRule="auto"/>
              <w:jc w:val="left"/>
            </w:pPr>
            <w:r/>
            <w:r>
              <w:rPr>
                <w:rFonts w:ascii="Cambria" w:hAnsi="Cambria"/>
                <w:b w:val="0"/>
                <w:i w:val="0"/>
                <w:color w:val="000000"/>
                <w:sz w:val="17"/>
              </w:rPr>
              <w:t>Process Control</w:t>
            </w:r>
          </w:p>
        </w:tc>
        <w:tc>
          <w:tcPr>
            <w:tcW w:type="dxa" w:w="4031"/>
            <w:vAlign w:val="center"/>
          </w:tcPr>
          <w:p>
            <w:pPr>
              <w:spacing w:after="0" w:before="0" w:line="240" w:lineRule="auto"/>
              <w:jc w:val="left"/>
            </w:pPr>
            <w:r/>
            <w:r>
              <w:rPr>
                <w:rFonts w:ascii="Cambria" w:hAnsi="Cambria"/>
                <w:b w:val="0"/>
                <w:i w:val="0"/>
                <w:color w:val="000000"/>
                <w:sz w:val="17"/>
              </w:rPr>
              <w:t>Procedures, plans, process controls, emergency / withdrawal arrangements.</w:t>
            </w:r>
          </w:p>
        </w:tc>
        <w:tc>
          <w:tcPr>
            <w:tcW w:type="dxa" w:w="3816"/>
            <w:vAlign w:val="center"/>
          </w:tcPr>
          <w:p>
            <w:pPr>
              <w:spacing w:after="0" w:before="0" w:line="240" w:lineRule="auto"/>
              <w:jc w:val="left"/>
            </w:pPr>
            <w:r/>
            <w:r>
              <w:rPr>
                <w:rFonts w:ascii="Cambria" w:hAnsi="Cambria"/>
                <w:b w:val="0"/>
                <w:i w:val="0"/>
                <w:color w:val="000000"/>
                <w:sz w:val="17"/>
              </w:rPr>
              <w:t>Operational ownership; consistency with hazards and applicable requirements.</w:t>
            </w:r>
          </w:p>
        </w:tc>
      </w:tr>
      <w:tr>
        <w:trPr>
          <w:cantSplit/>
        </w:trPr>
        <w:tc>
          <w:tcPr>
            <w:tcW w:type="dxa" w:w="1440"/>
            <w:vAlign w:val="center"/>
          </w:tcPr>
          <w:p>
            <w:pPr>
              <w:spacing w:after="0" w:before="0" w:line="240" w:lineRule="auto"/>
              <w:jc w:val="left"/>
            </w:pPr>
            <w:r/>
            <w:r>
              <w:rPr>
                <w:rFonts w:ascii="Cambria" w:hAnsi="Cambria"/>
                <w:b w:val="0"/>
                <w:i w:val="0"/>
                <w:color w:val="000000"/>
                <w:sz w:val="17"/>
              </w:rPr>
              <w:t>Task Control</w:t>
            </w:r>
          </w:p>
        </w:tc>
        <w:tc>
          <w:tcPr>
            <w:tcW w:type="dxa" w:w="4031"/>
            <w:vAlign w:val="center"/>
          </w:tcPr>
          <w:p>
            <w:pPr>
              <w:spacing w:after="0" w:before="0" w:line="240" w:lineRule="auto"/>
              <w:jc w:val="left"/>
            </w:pPr>
            <w:r/>
            <w:r>
              <w:rPr>
                <w:rFonts w:ascii="Cambria" w:hAnsi="Cambria"/>
                <w:b w:val="0"/>
                <w:i w:val="0"/>
                <w:color w:val="000000"/>
                <w:sz w:val="17"/>
              </w:rPr>
              <w:t>Work instructions, specifications, monitoring instructions, sanitation / allergen / maintenance instructions.</w:t>
            </w:r>
          </w:p>
        </w:tc>
        <w:tc>
          <w:tcPr>
            <w:tcW w:type="dxa" w:w="3816"/>
            <w:vAlign w:val="center"/>
          </w:tcPr>
          <w:p>
            <w:pPr>
              <w:spacing w:after="0" w:before="0" w:line="240" w:lineRule="auto"/>
              <w:jc w:val="left"/>
            </w:pPr>
            <w:r/>
            <w:r>
              <w:rPr>
                <w:rFonts w:ascii="Cambria" w:hAnsi="Cambria"/>
                <w:b w:val="0"/>
                <w:i w:val="0"/>
                <w:color w:val="000000"/>
                <w:sz w:val="17"/>
              </w:rPr>
              <w:t>Point-of-use accuracy; competence; change impact.</w:t>
            </w:r>
          </w:p>
        </w:tc>
      </w:tr>
      <w:tr>
        <w:trPr>
          <w:cantSplit/>
        </w:trPr>
        <w:tc>
          <w:tcPr>
            <w:tcW w:type="dxa" w:w="1440"/>
            <w:vAlign w:val="center"/>
          </w:tcPr>
          <w:p>
            <w:pPr>
              <w:spacing w:after="0" w:before="0" w:line="240" w:lineRule="auto"/>
              <w:jc w:val="left"/>
            </w:pPr>
            <w:r/>
            <w:r>
              <w:rPr>
                <w:rFonts w:ascii="Cambria" w:hAnsi="Cambria"/>
                <w:b w:val="0"/>
                <w:i w:val="0"/>
                <w:color w:val="000000"/>
                <w:sz w:val="17"/>
              </w:rPr>
              <w:t>Forms / Templates</w:t>
            </w:r>
          </w:p>
        </w:tc>
        <w:tc>
          <w:tcPr>
            <w:tcW w:type="dxa" w:w="4031"/>
            <w:vAlign w:val="center"/>
          </w:tcPr>
          <w:p>
            <w:pPr>
              <w:spacing w:after="0" w:before="0" w:line="240" w:lineRule="auto"/>
              <w:jc w:val="left"/>
            </w:pPr>
            <w:r/>
            <w:r>
              <w:rPr>
                <w:rFonts w:ascii="Cambria" w:hAnsi="Cambria"/>
                <w:b w:val="0"/>
                <w:i w:val="0"/>
                <w:color w:val="000000"/>
                <w:sz w:val="17"/>
              </w:rPr>
              <w:t>Checklists, logs, inspection forms, verification forms, meeting records.</w:t>
            </w:r>
          </w:p>
        </w:tc>
        <w:tc>
          <w:tcPr>
            <w:tcW w:type="dxa" w:w="3816"/>
            <w:vAlign w:val="center"/>
          </w:tcPr>
          <w:p>
            <w:pPr>
              <w:spacing w:after="0" w:before="0" w:line="240" w:lineRule="auto"/>
              <w:jc w:val="left"/>
            </w:pPr>
            <w:r/>
            <w:r>
              <w:rPr>
                <w:rFonts w:ascii="Cambria" w:hAnsi="Cambria"/>
                <w:b w:val="0"/>
                <w:i w:val="0"/>
                <w:color w:val="000000"/>
                <w:sz w:val="17"/>
              </w:rPr>
              <w:t>Required fields; usability; controlled template version.</w:t>
            </w:r>
          </w:p>
        </w:tc>
      </w:tr>
      <w:tr>
        <w:trPr>
          <w:cantSplit/>
        </w:trPr>
        <w:tc>
          <w:tcPr>
            <w:tcW w:type="dxa" w:w="1440"/>
            <w:vAlign w:val="center"/>
          </w:tcPr>
          <w:p>
            <w:pPr>
              <w:spacing w:after="0" w:before="0" w:line="240" w:lineRule="auto"/>
              <w:jc w:val="left"/>
            </w:pPr>
            <w:r/>
            <w:r>
              <w:rPr>
                <w:rFonts w:ascii="Cambria" w:hAnsi="Cambria"/>
                <w:b w:val="0"/>
                <w:i w:val="0"/>
                <w:color w:val="000000"/>
                <w:sz w:val="17"/>
              </w:rPr>
              <w:t>Records / Evidence</w:t>
            </w:r>
          </w:p>
        </w:tc>
        <w:tc>
          <w:tcPr>
            <w:tcW w:type="dxa" w:w="4031"/>
            <w:vAlign w:val="center"/>
          </w:tcPr>
          <w:p>
            <w:pPr>
              <w:spacing w:after="0" w:before="0" w:line="240" w:lineRule="auto"/>
              <w:jc w:val="left"/>
            </w:pPr>
            <w:r/>
            <w:r>
              <w:rPr>
                <w:rFonts w:ascii="Cambria" w:hAnsi="Cambria"/>
                <w:b w:val="0"/>
                <w:i w:val="0"/>
                <w:color w:val="000000"/>
                <w:sz w:val="17"/>
              </w:rPr>
              <w:t>Completed forms, system records, monitoring results, audit evidence, traceability data, approvals.</w:t>
            </w:r>
          </w:p>
        </w:tc>
        <w:tc>
          <w:tcPr>
            <w:tcW w:type="dxa" w:w="3816"/>
            <w:vAlign w:val="center"/>
          </w:tcPr>
          <w:p>
            <w:pPr>
              <w:spacing w:after="0" w:before="0" w:line="240" w:lineRule="auto"/>
              <w:jc w:val="left"/>
            </w:pPr>
            <w:r/>
            <w:r>
              <w:rPr>
                <w:rFonts w:ascii="Cambria" w:hAnsi="Cambria"/>
                <w:b w:val="0"/>
                <w:i w:val="0"/>
                <w:color w:val="000000"/>
                <w:sz w:val="17"/>
              </w:rPr>
              <w:t>Integrity; retrievability; retention; protection.</w:t>
            </w:r>
          </w:p>
        </w:tc>
      </w:tr>
      <w:tr>
        <w:trPr>
          <w:cantSplit/>
        </w:trPr>
        <w:tc>
          <w:tcPr>
            <w:tcW w:type="dxa" w:w="1440"/>
            <w:vAlign w:val="center"/>
          </w:tcPr>
          <w:p>
            <w:pPr>
              <w:spacing w:after="0" w:before="0" w:line="240" w:lineRule="auto"/>
              <w:jc w:val="left"/>
            </w:pPr>
            <w:r/>
            <w:r>
              <w:rPr>
                <w:rFonts w:ascii="Cambria" w:hAnsi="Cambria"/>
                <w:b w:val="0"/>
                <w:i w:val="0"/>
                <w:color w:val="000000"/>
                <w:sz w:val="17"/>
              </w:rPr>
              <w:t>External Information</w:t>
            </w:r>
          </w:p>
        </w:tc>
        <w:tc>
          <w:tcPr>
            <w:tcW w:type="dxa" w:w="4031"/>
            <w:vAlign w:val="center"/>
          </w:tcPr>
          <w:p>
            <w:pPr>
              <w:spacing w:after="0" w:before="0" w:line="240" w:lineRule="auto"/>
              <w:jc w:val="left"/>
            </w:pPr>
            <w:r/>
            <w:r>
              <w:rPr>
                <w:rFonts w:ascii="Cambria" w:hAnsi="Cambria"/>
                <w:b w:val="0"/>
                <w:i w:val="0"/>
                <w:color w:val="000000"/>
                <w:sz w:val="17"/>
              </w:rPr>
              <w:t>Legislation, standards, customer specifications, supplier documents, test methods, equipment manuals.</w:t>
            </w:r>
          </w:p>
        </w:tc>
        <w:tc>
          <w:tcPr>
            <w:tcW w:type="dxa" w:w="3816"/>
            <w:vAlign w:val="center"/>
          </w:tcPr>
          <w:p>
            <w:pPr>
              <w:spacing w:after="0" w:before="0" w:line="240" w:lineRule="auto"/>
              <w:jc w:val="left"/>
            </w:pPr>
            <w:r/>
            <w:r>
              <w:rPr>
                <w:rFonts w:ascii="Cambria" w:hAnsi="Cambria"/>
                <w:b w:val="0"/>
                <w:i w:val="0"/>
                <w:color w:val="000000"/>
                <w:sz w:val="17"/>
              </w:rPr>
              <w:t>Source, currency, impact assessment and access.</w:t>
            </w:r>
          </w:p>
        </w:tc>
      </w:tr>
    </w:tbl>
    <w:p>
      <w:pPr>
        <w:pStyle w:val="Heading1"/>
        <w:keepNext/>
      </w:pPr>
      <w:r>
        <w:t>4. Document Identification and Numbering</w:t>
      </w:r>
    </w:p>
    <w:p>
      <w:pPr>
        <w:pStyle w:val="BodyText"/>
      </w:pPr>
      <w:r>
        <w:rPr>
          <w:rFonts w:ascii="Cambria" w:hAnsi="Cambria"/>
          <w:b w:val="0"/>
          <w:i w:val="0"/>
          <w:color w:val="000000"/>
          <w:sz w:val="21"/>
        </w:rPr>
        <w:t>A document code should be unique, stable and simple enough to use consistently. A practical pattern is [MANAGEMENT SYSTEM]-[DOCUMENT TYPE]-[NUMBER], for example FSMS-PRO-001 or FSMS-FRM-004. Do not encode so much information into the code that routine organizational changes force renumbering.</w:t>
      </w:r>
    </w:p>
    <w:tbl>
      <w:tblPr>
        <w:tblStyle w:val="TableGrid"/>
        <w:tblW w:type="auto" w:w="0"/>
        <w:jc w:val="center"/>
        <w:tblLayout w:type="fixed"/>
        <w:tblLook w:val="04A0"/>
      </w:tblPr>
      <w:tblGrid>
        <w:gridCol w:w="4677"/>
        <w:gridCol w:w="4677"/>
      </w:tblGrid>
      <w:tr>
        <w:trPr>
          <w:cantSplit/>
          <w:tblHeader w:val="true"/>
        </w:trPr>
        <w:tc>
          <w:tcPr>
            <w:tcW w:type="dxa" w:w="1872"/>
            <w:vAlign w:val="center"/>
            <w:shd w:fill="D9EAF7" w:val="clear"/>
          </w:tcPr>
          <w:p>
            <w:pPr>
              <w:spacing w:after="0" w:before="0" w:line="240" w:lineRule="auto"/>
              <w:jc w:val="center"/>
            </w:pPr>
            <w:r/>
            <w:r>
              <w:rPr>
                <w:rFonts w:ascii="Cambria" w:hAnsi="Cambria"/>
                <w:b/>
                <w:i w:val="0"/>
                <w:color w:val="000000"/>
                <w:sz w:val="18"/>
              </w:rPr>
              <w:t>Element</w:t>
            </w:r>
          </w:p>
        </w:tc>
        <w:tc>
          <w:tcPr>
            <w:tcW w:type="dxa" w:w="7416"/>
            <w:vAlign w:val="center"/>
            <w:shd w:fill="D9EAF7" w:val="clear"/>
          </w:tcPr>
          <w:p>
            <w:pPr>
              <w:spacing w:after="0" w:before="0" w:line="240" w:lineRule="auto"/>
              <w:jc w:val="center"/>
            </w:pPr>
            <w:r/>
            <w:r>
              <w:rPr>
                <w:rFonts w:ascii="Cambria" w:hAnsi="Cambria"/>
                <w:b/>
                <w:i w:val="0"/>
                <w:color w:val="000000"/>
                <w:sz w:val="18"/>
              </w:rPr>
              <w:t>Guidance</w:t>
            </w:r>
          </w:p>
        </w:tc>
      </w:tr>
      <w:tr>
        <w:trPr>
          <w:cantSplit/>
        </w:trPr>
        <w:tc>
          <w:tcPr>
            <w:tcW w:type="dxa" w:w="1872"/>
            <w:vAlign w:val="center"/>
          </w:tcPr>
          <w:p>
            <w:pPr>
              <w:spacing w:after="0" w:before="0" w:line="240" w:lineRule="auto"/>
              <w:jc w:val="left"/>
            </w:pPr>
            <w:r/>
            <w:r>
              <w:rPr>
                <w:rFonts w:ascii="Cambria" w:hAnsi="Cambria"/>
                <w:b/>
                <w:i w:val="0"/>
                <w:color w:val="000000"/>
                <w:sz w:val="18"/>
              </w:rPr>
              <w:t>Title</w:t>
            </w:r>
          </w:p>
        </w:tc>
        <w:tc>
          <w:tcPr>
            <w:tcW w:type="dxa" w:w="7416"/>
            <w:vAlign w:val="center"/>
          </w:tcPr>
          <w:p>
            <w:pPr>
              <w:spacing w:after="0" w:before="0" w:line="240" w:lineRule="auto"/>
              <w:jc w:val="left"/>
            </w:pPr>
            <w:r/>
            <w:r>
              <w:rPr>
                <w:rFonts w:ascii="Cambria" w:hAnsi="Cambria"/>
                <w:b w:val="0"/>
                <w:i w:val="0"/>
                <w:color w:val="000000"/>
                <w:sz w:val="18"/>
              </w:rPr>
              <w:t>Use the business purpose, not only an ISO clause number.</w:t>
            </w:r>
          </w:p>
        </w:tc>
      </w:tr>
      <w:tr>
        <w:trPr>
          <w:cantSplit/>
        </w:trPr>
        <w:tc>
          <w:tcPr>
            <w:tcW w:type="dxa" w:w="1872"/>
            <w:vAlign w:val="center"/>
          </w:tcPr>
          <w:p>
            <w:pPr>
              <w:spacing w:after="0" w:before="0" w:line="240" w:lineRule="auto"/>
              <w:jc w:val="left"/>
            </w:pPr>
            <w:r/>
            <w:r>
              <w:rPr>
                <w:rFonts w:ascii="Cambria" w:hAnsi="Cambria"/>
                <w:b/>
                <w:i w:val="0"/>
                <w:color w:val="000000"/>
                <w:sz w:val="18"/>
              </w:rPr>
              <w:t>Code</w:t>
            </w:r>
          </w:p>
        </w:tc>
        <w:tc>
          <w:tcPr>
            <w:tcW w:type="dxa" w:w="7416"/>
            <w:vAlign w:val="center"/>
          </w:tcPr>
          <w:p>
            <w:pPr>
              <w:spacing w:after="0" w:before="0" w:line="240" w:lineRule="auto"/>
              <w:jc w:val="left"/>
            </w:pPr>
            <w:r/>
            <w:r>
              <w:rPr>
                <w:rFonts w:ascii="Cambria" w:hAnsi="Cambria"/>
                <w:b w:val="0"/>
                <w:i w:val="0"/>
                <w:color w:val="000000"/>
                <w:sz w:val="18"/>
              </w:rPr>
              <w:t>Use a unique identifier; avoid duplicate numbers across active documents.</w:t>
            </w:r>
          </w:p>
        </w:tc>
      </w:tr>
      <w:tr>
        <w:trPr>
          <w:cantSplit/>
        </w:trPr>
        <w:tc>
          <w:tcPr>
            <w:tcW w:type="dxa" w:w="1872"/>
            <w:vAlign w:val="center"/>
          </w:tcPr>
          <w:p>
            <w:pPr>
              <w:spacing w:after="0" w:before="0" w:line="240" w:lineRule="auto"/>
              <w:jc w:val="left"/>
            </w:pPr>
            <w:r/>
            <w:r>
              <w:rPr>
                <w:rFonts w:ascii="Cambria" w:hAnsi="Cambria"/>
                <w:b/>
                <w:i w:val="0"/>
                <w:color w:val="000000"/>
                <w:sz w:val="18"/>
              </w:rPr>
              <w:t>Version</w:t>
            </w:r>
          </w:p>
        </w:tc>
        <w:tc>
          <w:tcPr>
            <w:tcW w:type="dxa" w:w="7416"/>
            <w:vAlign w:val="center"/>
          </w:tcPr>
          <w:p>
            <w:pPr>
              <w:spacing w:after="0" w:before="0" w:line="240" w:lineRule="auto"/>
              <w:jc w:val="left"/>
            </w:pPr>
            <w:r/>
            <w:r>
              <w:rPr>
                <w:rFonts w:ascii="Cambria" w:hAnsi="Cambria"/>
                <w:b w:val="0"/>
                <w:i w:val="0"/>
                <w:color w:val="000000"/>
                <w:sz w:val="18"/>
              </w:rPr>
              <w:t>Increase only when controlled content changes; formatting-only corrections may follow the organization’s defined rule.</w:t>
            </w:r>
          </w:p>
        </w:tc>
      </w:tr>
      <w:tr>
        <w:trPr>
          <w:cantSplit/>
        </w:trPr>
        <w:tc>
          <w:tcPr>
            <w:tcW w:type="dxa" w:w="1872"/>
            <w:vAlign w:val="center"/>
          </w:tcPr>
          <w:p>
            <w:pPr>
              <w:spacing w:after="0" w:before="0" w:line="240" w:lineRule="auto"/>
              <w:jc w:val="left"/>
            </w:pPr>
            <w:r/>
            <w:r>
              <w:rPr>
                <w:rFonts w:ascii="Cambria" w:hAnsi="Cambria"/>
                <w:b/>
                <w:i w:val="0"/>
                <w:color w:val="000000"/>
                <w:sz w:val="18"/>
              </w:rPr>
              <w:t>Effective date</w:t>
            </w:r>
          </w:p>
        </w:tc>
        <w:tc>
          <w:tcPr>
            <w:tcW w:type="dxa" w:w="7416"/>
            <w:vAlign w:val="center"/>
          </w:tcPr>
          <w:p>
            <w:pPr>
              <w:spacing w:after="0" w:before="0" w:line="240" w:lineRule="auto"/>
              <w:jc w:val="left"/>
            </w:pPr>
            <w:r/>
            <w:r>
              <w:rPr>
                <w:rFonts w:ascii="Cambria" w:hAnsi="Cambria"/>
                <w:b w:val="0"/>
                <w:i w:val="0"/>
                <w:color w:val="000000"/>
                <w:sz w:val="18"/>
              </w:rPr>
              <w:t>Set when the new version becomes authorized for use.</w:t>
            </w:r>
          </w:p>
        </w:tc>
      </w:tr>
      <w:tr>
        <w:trPr>
          <w:cantSplit/>
        </w:trPr>
        <w:tc>
          <w:tcPr>
            <w:tcW w:type="dxa" w:w="1872"/>
            <w:vAlign w:val="center"/>
          </w:tcPr>
          <w:p>
            <w:pPr>
              <w:spacing w:after="0" w:before="0" w:line="240" w:lineRule="auto"/>
              <w:jc w:val="left"/>
            </w:pPr>
            <w:r/>
            <w:r>
              <w:rPr>
                <w:rFonts w:ascii="Cambria" w:hAnsi="Cambria"/>
                <w:b/>
                <w:i w:val="0"/>
                <w:color w:val="000000"/>
                <w:sz w:val="18"/>
              </w:rPr>
              <w:t>Owner</w:t>
            </w:r>
          </w:p>
        </w:tc>
        <w:tc>
          <w:tcPr>
            <w:tcW w:type="dxa" w:w="7416"/>
            <w:vAlign w:val="center"/>
          </w:tcPr>
          <w:p>
            <w:pPr>
              <w:spacing w:after="0" w:before="0" w:line="240" w:lineRule="auto"/>
              <w:jc w:val="left"/>
            </w:pPr>
            <w:r/>
            <w:r>
              <w:rPr>
                <w:rFonts w:ascii="Cambria" w:hAnsi="Cambria"/>
                <w:b w:val="0"/>
                <w:i w:val="0"/>
                <w:color w:val="000000"/>
                <w:sz w:val="18"/>
              </w:rPr>
              <w:t>Assign a role responsible for content suitability and review.</w:t>
            </w:r>
          </w:p>
        </w:tc>
      </w:tr>
      <w:tr>
        <w:trPr>
          <w:cantSplit/>
        </w:trPr>
        <w:tc>
          <w:tcPr>
            <w:tcW w:type="dxa" w:w="1872"/>
            <w:vAlign w:val="center"/>
          </w:tcPr>
          <w:p>
            <w:pPr>
              <w:spacing w:after="0" w:before="0" w:line="240" w:lineRule="auto"/>
              <w:jc w:val="left"/>
            </w:pPr>
            <w:r/>
            <w:r>
              <w:rPr>
                <w:rFonts w:ascii="Cambria" w:hAnsi="Cambria"/>
                <w:b/>
                <w:i w:val="0"/>
                <w:color w:val="000000"/>
                <w:sz w:val="18"/>
              </w:rPr>
              <w:t>Approver</w:t>
            </w:r>
          </w:p>
        </w:tc>
        <w:tc>
          <w:tcPr>
            <w:tcW w:type="dxa" w:w="7416"/>
            <w:vAlign w:val="center"/>
          </w:tcPr>
          <w:p>
            <w:pPr>
              <w:spacing w:after="0" w:before="0" w:line="240" w:lineRule="auto"/>
              <w:jc w:val="left"/>
            </w:pPr>
            <w:r/>
            <w:r>
              <w:rPr>
                <w:rFonts w:ascii="Cambria" w:hAnsi="Cambria"/>
                <w:b w:val="0"/>
                <w:i w:val="0"/>
                <w:color w:val="000000"/>
                <w:sz w:val="18"/>
              </w:rPr>
              <w:t>Assign authority proportionate to risk and organizational governance.</w:t>
            </w:r>
          </w:p>
        </w:tc>
      </w:tr>
      <w:tr>
        <w:trPr>
          <w:cantSplit/>
        </w:trPr>
        <w:tc>
          <w:tcPr>
            <w:tcW w:type="dxa" w:w="1872"/>
            <w:vAlign w:val="center"/>
          </w:tcPr>
          <w:p>
            <w:pPr>
              <w:spacing w:after="0" w:before="0" w:line="240" w:lineRule="auto"/>
              <w:jc w:val="left"/>
            </w:pPr>
            <w:r/>
            <w:r>
              <w:rPr>
                <w:rFonts w:ascii="Cambria" w:hAnsi="Cambria"/>
                <w:b/>
                <w:i w:val="0"/>
                <w:color w:val="000000"/>
                <w:sz w:val="18"/>
              </w:rPr>
              <w:t>Classification</w:t>
            </w:r>
          </w:p>
        </w:tc>
        <w:tc>
          <w:tcPr>
            <w:tcW w:type="dxa" w:w="7416"/>
            <w:vAlign w:val="center"/>
          </w:tcPr>
          <w:p>
            <w:pPr>
              <w:spacing w:after="0" w:before="0" w:line="240" w:lineRule="auto"/>
              <w:jc w:val="left"/>
            </w:pPr>
            <w:r/>
            <w:r>
              <w:rPr>
                <w:rFonts w:ascii="Cambria" w:hAnsi="Cambria"/>
                <w:b w:val="0"/>
                <w:i w:val="0"/>
                <w:color w:val="000000"/>
                <w:sz w:val="18"/>
              </w:rPr>
              <w:t>Use Internal / Confidential or equivalent when access restrictions are needed.</w:t>
            </w:r>
          </w:p>
        </w:tc>
      </w:tr>
    </w:tbl>
    <w:p>
      <w:pPr>
        <w:pStyle w:val="Heading1"/>
        <w:keepNext/>
      </w:pPr>
      <w:r>
        <w:t>5. Illustrative Data — Control Examples</w:t>
      </w:r>
    </w:p>
    <w:p>
      <w:pPr>
        <w:keepLines/>
        <w:spacing w:before="80" w:after="120"/>
      </w:pPr>
      <w:r>
        <w:rPr>
          <w:rFonts w:ascii="Cambria" w:hAnsi="Cambria"/>
          <w:b/>
          <w:i/>
          <w:color w:val="C00000"/>
          <w:sz w:val="19"/>
        </w:rPr>
        <w:t xml:space="preserve">[Note] </w:t>
      </w:r>
      <w:r>
        <w:rPr>
          <w:rFonts w:ascii="Cambria" w:hAnsi="Cambria"/>
          <w:b w:val="0"/>
          <w:i/>
          <w:color w:val="C00000"/>
          <w:sz w:val="19"/>
        </w:rPr>
        <w:t>The examples below are illustrative only. Replace them with organization-specific documents, roles, retention rules and systems.</w:t>
      </w:r>
    </w:p>
    <w:tbl>
      <w:tblPr>
        <w:tblStyle w:val="TableGrid"/>
        <w:tblW w:type="auto" w:w="0"/>
        <w:jc w:val="center"/>
        <w:tblLayout w:type="fixed"/>
        <w:tblLook w:val="04A0"/>
      </w:tblPr>
      <w:tblGrid>
        <w:gridCol w:w="1871"/>
        <w:gridCol w:w="1871"/>
        <w:gridCol w:w="1871"/>
        <w:gridCol w:w="1871"/>
        <w:gridCol w:w="1871"/>
      </w:tblGrid>
      <w:tr>
        <w:trPr>
          <w:cantSplit/>
          <w:tblHeader w:val="true"/>
        </w:trPr>
        <w:tc>
          <w:tcPr>
            <w:tcW w:type="dxa" w:w="2232"/>
            <w:vAlign w:val="center"/>
            <w:shd w:fill="D9EAF7" w:val="clear"/>
          </w:tcPr>
          <w:p>
            <w:pPr>
              <w:spacing w:after="0" w:before="0" w:line="240" w:lineRule="auto"/>
              <w:jc w:val="center"/>
            </w:pPr>
            <w:r/>
            <w:r>
              <w:rPr>
                <w:rFonts w:ascii="Cambria" w:hAnsi="Cambria"/>
                <w:b/>
                <w:i w:val="0"/>
                <w:color w:val="000000"/>
                <w:sz w:val="15"/>
              </w:rPr>
              <w:t>Illustrative Item</w:t>
            </w:r>
          </w:p>
        </w:tc>
        <w:tc>
          <w:tcPr>
            <w:tcW w:type="dxa" w:w="1440"/>
            <w:vAlign w:val="center"/>
            <w:shd w:fill="D9EAF7" w:val="clear"/>
          </w:tcPr>
          <w:p>
            <w:pPr>
              <w:spacing w:after="0" w:before="0" w:line="240" w:lineRule="auto"/>
              <w:jc w:val="center"/>
            </w:pPr>
            <w:r/>
            <w:r>
              <w:rPr>
                <w:rFonts w:ascii="Cambria" w:hAnsi="Cambria"/>
                <w:b/>
                <w:i w:val="0"/>
                <w:color w:val="000000"/>
                <w:sz w:val="15"/>
              </w:rPr>
              <w:t>Type</w:t>
            </w:r>
          </w:p>
        </w:tc>
        <w:tc>
          <w:tcPr>
            <w:tcW w:type="dxa" w:w="3240"/>
            <w:vAlign w:val="center"/>
            <w:shd w:fill="D9EAF7" w:val="clear"/>
          </w:tcPr>
          <w:p>
            <w:pPr>
              <w:spacing w:after="0" w:before="0" w:line="240" w:lineRule="auto"/>
              <w:jc w:val="center"/>
            </w:pPr>
            <w:r/>
            <w:r>
              <w:rPr>
                <w:rFonts w:ascii="Cambria" w:hAnsi="Cambria"/>
                <w:b/>
                <w:i w:val="0"/>
                <w:color w:val="000000"/>
                <w:sz w:val="15"/>
              </w:rPr>
              <w:t>Primary Control Need</w:t>
            </w:r>
          </w:p>
        </w:tc>
        <w:tc>
          <w:tcPr>
            <w:tcW w:type="dxa" w:w="1512"/>
            <w:vAlign w:val="center"/>
            <w:shd w:fill="D9EAF7" w:val="clear"/>
          </w:tcPr>
          <w:p>
            <w:pPr>
              <w:spacing w:after="0" w:before="0" w:line="240" w:lineRule="auto"/>
              <w:jc w:val="center"/>
            </w:pPr>
            <w:r/>
            <w:r>
              <w:rPr>
                <w:rFonts w:ascii="Cambria" w:hAnsi="Cambria"/>
                <w:b/>
                <w:i w:val="0"/>
                <w:color w:val="000000"/>
                <w:sz w:val="15"/>
              </w:rPr>
              <w:t>Typical Owner</w:t>
            </w:r>
          </w:p>
        </w:tc>
        <w:tc>
          <w:tcPr>
            <w:tcW w:type="dxa" w:w="1728"/>
            <w:vAlign w:val="center"/>
            <w:shd w:fill="D9EAF7" w:val="clear"/>
          </w:tcPr>
          <w:p>
            <w:pPr>
              <w:spacing w:after="0" w:before="0" w:line="240" w:lineRule="auto"/>
              <w:jc w:val="center"/>
            </w:pPr>
            <w:r/>
            <w:r>
              <w:rPr>
                <w:rFonts w:ascii="Cambria" w:hAnsi="Cambria"/>
                <w:b/>
                <w:i w:val="0"/>
                <w:color w:val="000000"/>
                <w:sz w:val="15"/>
              </w:rPr>
              <w:t>Example Retention / Review Logic</w:t>
            </w:r>
          </w:p>
        </w:tc>
      </w:tr>
      <w:tr>
        <w:trPr>
          <w:cantSplit/>
        </w:trPr>
        <w:tc>
          <w:tcPr>
            <w:tcW w:type="dxa" w:w="2232"/>
            <w:vAlign w:val="center"/>
          </w:tcPr>
          <w:p>
            <w:pPr>
              <w:spacing w:after="0" w:before="0" w:line="240" w:lineRule="auto"/>
              <w:jc w:val="left"/>
            </w:pPr>
            <w:r/>
            <w:r>
              <w:rPr>
                <w:rFonts w:ascii="Cambria" w:hAnsi="Cambria"/>
                <w:b w:val="0"/>
                <w:i w:val="0"/>
                <w:color w:val="000000"/>
                <w:sz w:val="15"/>
              </w:rPr>
              <w:t>Allergen Changeover Cleaning Instruction</w:t>
            </w:r>
          </w:p>
        </w:tc>
        <w:tc>
          <w:tcPr>
            <w:tcW w:type="dxa" w:w="1440"/>
            <w:vAlign w:val="center"/>
          </w:tcPr>
          <w:p>
            <w:pPr>
              <w:spacing w:after="0" w:before="0" w:line="240" w:lineRule="auto"/>
              <w:jc w:val="left"/>
            </w:pPr>
            <w:r/>
            <w:r>
              <w:rPr>
                <w:rFonts w:ascii="Cambria" w:hAnsi="Cambria"/>
                <w:b w:val="0"/>
                <w:i w:val="0"/>
                <w:color w:val="000000"/>
                <w:sz w:val="15"/>
              </w:rPr>
              <w:t>Work Instruction</w:t>
            </w:r>
          </w:p>
        </w:tc>
        <w:tc>
          <w:tcPr>
            <w:tcW w:type="dxa" w:w="3240"/>
            <w:vAlign w:val="center"/>
          </w:tcPr>
          <w:p>
            <w:pPr>
              <w:spacing w:after="0" w:before="0" w:line="240" w:lineRule="auto"/>
              <w:jc w:val="left"/>
            </w:pPr>
            <w:r/>
            <w:r>
              <w:rPr>
                <w:rFonts w:ascii="Cambria" w:hAnsi="Cambria"/>
                <w:b w:val="0"/>
                <w:i w:val="0"/>
                <w:color w:val="000000"/>
                <w:sz w:val="15"/>
              </w:rPr>
              <w:t>Correct current method available at point of use; change review against allergen hazard controls.</w:t>
            </w:r>
          </w:p>
        </w:tc>
        <w:tc>
          <w:tcPr>
            <w:tcW w:type="dxa" w:w="1512"/>
            <w:vAlign w:val="center"/>
          </w:tcPr>
          <w:p>
            <w:pPr>
              <w:spacing w:after="0" w:before="0" w:line="240" w:lineRule="auto"/>
              <w:jc w:val="left"/>
            </w:pPr>
            <w:r/>
            <w:r>
              <w:rPr>
                <w:rFonts w:ascii="Cambria" w:hAnsi="Cambria"/>
                <w:b w:val="0"/>
                <w:i w:val="0"/>
                <w:color w:val="000000"/>
                <w:sz w:val="15"/>
              </w:rPr>
              <w:t>Production / Food Safety</w:t>
            </w:r>
          </w:p>
        </w:tc>
        <w:tc>
          <w:tcPr>
            <w:tcW w:type="dxa" w:w="1728"/>
            <w:vAlign w:val="center"/>
          </w:tcPr>
          <w:p>
            <w:pPr>
              <w:spacing w:after="0" w:before="0" w:line="240" w:lineRule="auto"/>
              <w:jc w:val="left"/>
            </w:pPr>
            <w:r/>
            <w:r>
              <w:rPr>
                <w:rFonts w:ascii="Cambria" w:hAnsi="Cambria"/>
                <w:b w:val="0"/>
                <w:i w:val="0"/>
                <w:color w:val="000000"/>
                <w:sz w:val="15"/>
              </w:rPr>
              <w:t>Review on process, chemical, equipment or allergen change; retain superseded versions for traceability as defined.</w:t>
            </w:r>
          </w:p>
        </w:tc>
      </w:tr>
      <w:tr>
        <w:trPr>
          <w:cantSplit/>
        </w:trPr>
        <w:tc>
          <w:tcPr>
            <w:tcW w:type="dxa" w:w="2232"/>
            <w:vAlign w:val="center"/>
          </w:tcPr>
          <w:p>
            <w:pPr>
              <w:spacing w:after="0" w:before="0" w:line="240" w:lineRule="auto"/>
              <w:jc w:val="left"/>
            </w:pPr>
            <w:r/>
            <w:r>
              <w:rPr>
                <w:rFonts w:ascii="Cambria" w:hAnsi="Cambria"/>
                <w:b w:val="0"/>
                <w:i w:val="0"/>
                <w:color w:val="000000"/>
                <w:sz w:val="15"/>
              </w:rPr>
              <w:t>Approved Supplier Monitoring Form</w:t>
            </w:r>
          </w:p>
        </w:tc>
        <w:tc>
          <w:tcPr>
            <w:tcW w:type="dxa" w:w="1440"/>
            <w:vAlign w:val="center"/>
          </w:tcPr>
          <w:p>
            <w:pPr>
              <w:spacing w:after="0" w:before="0" w:line="240" w:lineRule="auto"/>
              <w:jc w:val="left"/>
            </w:pPr>
            <w:r/>
            <w:r>
              <w:rPr>
                <w:rFonts w:ascii="Cambria" w:hAnsi="Cambria"/>
                <w:b w:val="0"/>
                <w:i w:val="0"/>
                <w:color w:val="000000"/>
                <w:sz w:val="15"/>
              </w:rPr>
              <w:t>Form / Record</w:t>
            </w:r>
          </w:p>
        </w:tc>
        <w:tc>
          <w:tcPr>
            <w:tcW w:type="dxa" w:w="3240"/>
            <w:vAlign w:val="center"/>
          </w:tcPr>
          <w:p>
            <w:pPr>
              <w:spacing w:after="0" w:before="0" w:line="240" w:lineRule="auto"/>
              <w:jc w:val="left"/>
            </w:pPr>
            <w:r/>
            <w:r>
              <w:rPr>
                <w:rFonts w:ascii="Cambria" w:hAnsi="Cambria"/>
                <w:b w:val="0"/>
                <w:i w:val="0"/>
                <w:color w:val="000000"/>
                <w:sz w:val="15"/>
              </w:rPr>
              <w:t>Controlled template plus complete evidence of supplier evaluation and follow-up.</w:t>
            </w:r>
          </w:p>
        </w:tc>
        <w:tc>
          <w:tcPr>
            <w:tcW w:type="dxa" w:w="1512"/>
            <w:vAlign w:val="center"/>
          </w:tcPr>
          <w:p>
            <w:pPr>
              <w:spacing w:after="0" w:before="0" w:line="240" w:lineRule="auto"/>
              <w:jc w:val="left"/>
            </w:pPr>
            <w:r/>
            <w:r>
              <w:rPr>
                <w:rFonts w:ascii="Cambria" w:hAnsi="Cambria"/>
                <w:b w:val="0"/>
                <w:i w:val="0"/>
                <w:color w:val="000000"/>
                <w:sz w:val="15"/>
              </w:rPr>
              <w:t>Procurement / QA</w:t>
            </w:r>
          </w:p>
        </w:tc>
        <w:tc>
          <w:tcPr>
            <w:tcW w:type="dxa" w:w="1728"/>
            <w:vAlign w:val="center"/>
          </w:tcPr>
          <w:p>
            <w:pPr>
              <w:spacing w:after="0" w:before="0" w:line="240" w:lineRule="auto"/>
              <w:jc w:val="left"/>
            </w:pPr>
            <w:r/>
            <w:r>
              <w:rPr>
                <w:rFonts w:ascii="Cambria" w:hAnsi="Cambria"/>
                <w:b w:val="0"/>
                <w:i w:val="0"/>
                <w:color w:val="000000"/>
                <w:sz w:val="15"/>
              </w:rPr>
              <w:t>Retain through supplier approval cycle and defined post-supply period.</w:t>
            </w:r>
          </w:p>
        </w:tc>
      </w:tr>
      <w:tr>
        <w:trPr>
          <w:cantSplit/>
        </w:trPr>
        <w:tc>
          <w:tcPr>
            <w:tcW w:type="dxa" w:w="2232"/>
            <w:vAlign w:val="center"/>
          </w:tcPr>
          <w:p>
            <w:pPr>
              <w:spacing w:after="0" w:before="0" w:line="240" w:lineRule="auto"/>
              <w:jc w:val="left"/>
            </w:pPr>
            <w:r/>
            <w:r>
              <w:rPr>
                <w:rFonts w:ascii="Cambria" w:hAnsi="Cambria"/>
                <w:b w:val="0"/>
                <w:i w:val="0"/>
                <w:color w:val="000000"/>
                <w:sz w:val="15"/>
              </w:rPr>
              <w:t>Cold Storage Temperature Log</w:t>
            </w:r>
          </w:p>
        </w:tc>
        <w:tc>
          <w:tcPr>
            <w:tcW w:type="dxa" w:w="1440"/>
            <w:vAlign w:val="center"/>
          </w:tcPr>
          <w:p>
            <w:pPr>
              <w:spacing w:after="0" w:before="0" w:line="240" w:lineRule="auto"/>
              <w:jc w:val="left"/>
            </w:pPr>
            <w:r/>
            <w:r>
              <w:rPr>
                <w:rFonts w:ascii="Cambria" w:hAnsi="Cambria"/>
                <w:b w:val="0"/>
                <w:i w:val="0"/>
                <w:color w:val="000000"/>
                <w:sz w:val="15"/>
              </w:rPr>
              <w:t>Record</w:t>
            </w:r>
          </w:p>
        </w:tc>
        <w:tc>
          <w:tcPr>
            <w:tcW w:type="dxa" w:w="3240"/>
            <w:vAlign w:val="center"/>
          </w:tcPr>
          <w:p>
            <w:pPr>
              <w:spacing w:after="0" w:before="0" w:line="240" w:lineRule="auto"/>
              <w:jc w:val="left"/>
            </w:pPr>
            <w:r/>
            <w:r>
              <w:rPr>
                <w:rFonts w:ascii="Cambria" w:hAnsi="Cambria"/>
                <w:b w:val="0"/>
                <w:i w:val="0"/>
                <w:color w:val="000000"/>
                <w:sz w:val="15"/>
              </w:rPr>
              <w:t>Legible / time-linked results; escalation evidence for deviations; protected from alteration.</w:t>
            </w:r>
          </w:p>
        </w:tc>
        <w:tc>
          <w:tcPr>
            <w:tcW w:type="dxa" w:w="1512"/>
            <w:vAlign w:val="center"/>
          </w:tcPr>
          <w:p>
            <w:pPr>
              <w:spacing w:after="0" w:before="0" w:line="240" w:lineRule="auto"/>
              <w:jc w:val="left"/>
            </w:pPr>
            <w:r/>
            <w:r>
              <w:rPr>
                <w:rFonts w:ascii="Cambria" w:hAnsi="Cambria"/>
                <w:b w:val="0"/>
                <w:i w:val="0"/>
                <w:color w:val="000000"/>
                <w:sz w:val="15"/>
              </w:rPr>
              <w:t>Warehouse</w:t>
            </w:r>
          </w:p>
        </w:tc>
        <w:tc>
          <w:tcPr>
            <w:tcW w:type="dxa" w:w="1728"/>
            <w:vAlign w:val="center"/>
          </w:tcPr>
          <w:p>
            <w:pPr>
              <w:spacing w:after="0" w:before="0" w:line="240" w:lineRule="auto"/>
              <w:jc w:val="left"/>
            </w:pPr>
            <w:r/>
            <w:r>
              <w:rPr>
                <w:rFonts w:ascii="Cambria" w:hAnsi="Cambria"/>
                <w:b w:val="0"/>
                <w:i w:val="0"/>
                <w:color w:val="000000"/>
                <w:sz w:val="15"/>
              </w:rPr>
              <w:t>Retain based on product life, traceability and regulatory / customer needs.</w:t>
            </w:r>
          </w:p>
        </w:tc>
      </w:tr>
      <w:tr>
        <w:trPr>
          <w:cantSplit/>
        </w:trPr>
        <w:tc>
          <w:tcPr>
            <w:tcW w:type="dxa" w:w="2232"/>
            <w:vAlign w:val="center"/>
          </w:tcPr>
          <w:p>
            <w:pPr>
              <w:spacing w:after="0" w:before="0" w:line="240" w:lineRule="auto"/>
              <w:jc w:val="left"/>
            </w:pPr>
            <w:r/>
            <w:r>
              <w:rPr>
                <w:rFonts w:ascii="Cambria" w:hAnsi="Cambria"/>
                <w:b w:val="0"/>
                <w:i w:val="0"/>
                <w:color w:val="000000"/>
                <w:sz w:val="15"/>
              </w:rPr>
              <w:t>Customer Product Specification</w:t>
            </w:r>
          </w:p>
        </w:tc>
        <w:tc>
          <w:tcPr>
            <w:tcW w:type="dxa" w:w="1440"/>
            <w:vAlign w:val="center"/>
          </w:tcPr>
          <w:p>
            <w:pPr>
              <w:spacing w:after="0" w:before="0" w:line="240" w:lineRule="auto"/>
              <w:jc w:val="left"/>
            </w:pPr>
            <w:r/>
            <w:r>
              <w:rPr>
                <w:rFonts w:ascii="Cambria" w:hAnsi="Cambria"/>
                <w:b w:val="0"/>
                <w:i w:val="0"/>
                <w:color w:val="000000"/>
                <w:sz w:val="15"/>
              </w:rPr>
              <w:t>External Document</w:t>
            </w:r>
          </w:p>
        </w:tc>
        <w:tc>
          <w:tcPr>
            <w:tcW w:type="dxa" w:w="3240"/>
            <w:vAlign w:val="center"/>
          </w:tcPr>
          <w:p>
            <w:pPr>
              <w:spacing w:after="0" w:before="0" w:line="240" w:lineRule="auto"/>
              <w:jc w:val="left"/>
            </w:pPr>
            <w:r/>
            <w:r>
              <w:rPr>
                <w:rFonts w:ascii="Cambria" w:hAnsi="Cambria"/>
                <w:b w:val="0"/>
                <w:i w:val="0"/>
                <w:color w:val="000000"/>
                <w:sz w:val="15"/>
              </w:rPr>
              <w:t>Current approved specification accessible to formulation / production / release functions.</w:t>
            </w:r>
          </w:p>
        </w:tc>
        <w:tc>
          <w:tcPr>
            <w:tcW w:type="dxa" w:w="1512"/>
            <w:vAlign w:val="center"/>
          </w:tcPr>
          <w:p>
            <w:pPr>
              <w:spacing w:after="0" w:before="0" w:line="240" w:lineRule="auto"/>
              <w:jc w:val="left"/>
            </w:pPr>
            <w:r/>
            <w:r>
              <w:rPr>
                <w:rFonts w:ascii="Cambria" w:hAnsi="Cambria"/>
                <w:b w:val="0"/>
                <w:i w:val="0"/>
                <w:color w:val="000000"/>
                <w:sz w:val="15"/>
              </w:rPr>
              <w:t>Commercial / QA</w:t>
            </w:r>
          </w:p>
        </w:tc>
        <w:tc>
          <w:tcPr>
            <w:tcW w:type="dxa" w:w="1728"/>
            <w:vAlign w:val="center"/>
          </w:tcPr>
          <w:p>
            <w:pPr>
              <w:spacing w:after="0" w:before="0" w:line="240" w:lineRule="auto"/>
              <w:jc w:val="left"/>
            </w:pPr>
            <w:r/>
            <w:r>
              <w:rPr>
                <w:rFonts w:ascii="Cambria" w:hAnsi="Cambria"/>
                <w:b w:val="0"/>
                <w:i w:val="0"/>
                <w:color w:val="000000"/>
                <w:sz w:val="15"/>
              </w:rPr>
              <w:t>Monitor revisions; archive prior versions where required to explain historical production.</w:t>
            </w:r>
          </w:p>
        </w:tc>
      </w:tr>
      <w:tr>
        <w:trPr>
          <w:cantSplit/>
        </w:trPr>
        <w:tc>
          <w:tcPr>
            <w:tcW w:type="dxa" w:w="2232"/>
            <w:vAlign w:val="center"/>
          </w:tcPr>
          <w:p>
            <w:pPr>
              <w:spacing w:after="0" w:before="0" w:line="240" w:lineRule="auto"/>
              <w:jc w:val="left"/>
            </w:pPr>
            <w:r/>
            <w:r>
              <w:rPr>
                <w:rFonts w:ascii="Cambria" w:hAnsi="Cambria"/>
                <w:b w:val="0"/>
                <w:i w:val="0"/>
                <w:color w:val="000000"/>
                <w:sz w:val="15"/>
              </w:rPr>
              <w:t>Hazard Analysis Worksheet</w:t>
            </w:r>
          </w:p>
        </w:tc>
        <w:tc>
          <w:tcPr>
            <w:tcW w:type="dxa" w:w="1440"/>
            <w:vAlign w:val="center"/>
          </w:tcPr>
          <w:p>
            <w:pPr>
              <w:spacing w:after="0" w:before="0" w:line="240" w:lineRule="auto"/>
              <w:jc w:val="left"/>
            </w:pPr>
            <w:r/>
            <w:r>
              <w:rPr>
                <w:rFonts w:ascii="Cambria" w:hAnsi="Cambria"/>
                <w:b w:val="0"/>
                <w:i w:val="0"/>
                <w:color w:val="000000"/>
                <w:sz w:val="15"/>
              </w:rPr>
              <w:t>Controlled Technical Record</w:t>
            </w:r>
          </w:p>
        </w:tc>
        <w:tc>
          <w:tcPr>
            <w:tcW w:type="dxa" w:w="3240"/>
            <w:vAlign w:val="center"/>
          </w:tcPr>
          <w:p>
            <w:pPr>
              <w:spacing w:after="0" w:before="0" w:line="240" w:lineRule="auto"/>
              <w:jc w:val="left"/>
            </w:pPr>
            <w:r/>
            <w:r>
              <w:rPr>
                <w:rFonts w:ascii="Cambria" w:hAnsi="Cambria"/>
                <w:b w:val="0"/>
                <w:i w:val="0"/>
                <w:color w:val="000000"/>
                <w:sz w:val="15"/>
              </w:rPr>
              <w:t>Technical authorization, traceable rationale and controlled updates when inputs change.</w:t>
            </w:r>
          </w:p>
        </w:tc>
        <w:tc>
          <w:tcPr>
            <w:tcW w:type="dxa" w:w="1512"/>
            <w:vAlign w:val="center"/>
          </w:tcPr>
          <w:p>
            <w:pPr>
              <w:spacing w:after="0" w:before="0" w:line="240" w:lineRule="auto"/>
              <w:jc w:val="left"/>
            </w:pPr>
            <w:r/>
            <w:r>
              <w:rPr>
                <w:rFonts w:ascii="Cambria" w:hAnsi="Cambria"/>
                <w:b w:val="0"/>
                <w:i w:val="0"/>
                <w:color w:val="000000"/>
                <w:sz w:val="15"/>
              </w:rPr>
              <w:t>Food Safety Team Leader</w:t>
            </w:r>
          </w:p>
        </w:tc>
        <w:tc>
          <w:tcPr>
            <w:tcW w:type="dxa" w:w="1728"/>
            <w:vAlign w:val="center"/>
          </w:tcPr>
          <w:p>
            <w:pPr>
              <w:spacing w:after="0" w:before="0" w:line="240" w:lineRule="auto"/>
              <w:jc w:val="left"/>
            </w:pPr>
            <w:r/>
            <w:r>
              <w:rPr>
                <w:rFonts w:ascii="Cambria" w:hAnsi="Cambria"/>
                <w:b w:val="0"/>
                <w:i w:val="0"/>
                <w:color w:val="000000"/>
                <w:sz w:val="15"/>
              </w:rPr>
              <w:t>Retain current and historical approved versions for decision traceability.</w:t>
            </w:r>
          </w:p>
        </w:tc>
      </w:tr>
    </w:tbl>
    <w:p>
      <w:pPr>
        <w:pStyle w:val="Heading1"/>
        <w:keepNext/>
      </w:pPr>
      <w:r>
        <w:t>6. Review and Approval Levels</w:t>
      </w:r>
    </w:p>
    <w:tbl>
      <w:tblPr>
        <w:tblStyle w:val="TableGrid"/>
        <w:tblW w:type="auto" w:w="0"/>
        <w:jc w:val="center"/>
        <w:tblLayout w:type="fixed"/>
        <w:tblLook w:val="04A0"/>
      </w:tblPr>
      <w:tblGrid>
        <w:gridCol w:w="4677"/>
        <w:gridCol w:w="4677"/>
      </w:tblGrid>
      <w:tr>
        <w:trPr>
          <w:cantSplit/>
          <w:tblHeader w:val="true"/>
        </w:trPr>
        <w:tc>
          <w:tcPr>
            <w:tcW w:type="dxa" w:w="3168"/>
            <w:vAlign w:val="center"/>
            <w:shd w:fill="D9EAF7" w:val="clear"/>
          </w:tcPr>
          <w:p>
            <w:pPr>
              <w:spacing w:after="0" w:before="0" w:line="240" w:lineRule="auto"/>
              <w:jc w:val="center"/>
            </w:pPr>
            <w:r/>
            <w:r>
              <w:rPr>
                <w:rFonts w:ascii="Cambria" w:hAnsi="Cambria"/>
                <w:b/>
                <w:i w:val="0"/>
                <w:color w:val="000000"/>
                <w:sz w:val="18"/>
              </w:rPr>
              <w:t>Document / Change Type</w:t>
            </w:r>
          </w:p>
        </w:tc>
        <w:tc>
          <w:tcPr>
            <w:tcW w:type="dxa" w:w="6120"/>
            <w:vAlign w:val="center"/>
            <w:shd w:fill="D9EAF7" w:val="clear"/>
          </w:tcPr>
          <w:p>
            <w:pPr>
              <w:spacing w:after="0" w:before="0" w:line="240" w:lineRule="auto"/>
              <w:jc w:val="center"/>
            </w:pPr>
            <w:r/>
            <w:r>
              <w:rPr>
                <w:rFonts w:ascii="Cambria" w:hAnsi="Cambria"/>
                <w:b/>
                <w:i w:val="0"/>
                <w:color w:val="000000"/>
                <w:sz w:val="18"/>
              </w:rPr>
              <w:t>Minimum Review Consideration</w:t>
            </w:r>
          </w:p>
        </w:tc>
      </w:tr>
      <w:tr>
        <w:trPr>
          <w:cantSplit/>
        </w:trPr>
        <w:tc>
          <w:tcPr>
            <w:tcW w:type="dxa" w:w="3168"/>
            <w:vAlign w:val="center"/>
          </w:tcPr>
          <w:p>
            <w:pPr>
              <w:spacing w:after="0" w:before="0" w:line="240" w:lineRule="auto"/>
              <w:jc w:val="left"/>
            </w:pPr>
            <w:r/>
            <w:r>
              <w:rPr>
                <w:rFonts w:ascii="Cambria" w:hAnsi="Cambria"/>
                <w:b w:val="0"/>
                <w:i w:val="0"/>
                <w:color w:val="000000"/>
                <w:sz w:val="18"/>
              </w:rPr>
              <w:t>Food-safety-critical operational instruction</w:t>
            </w:r>
          </w:p>
        </w:tc>
        <w:tc>
          <w:tcPr>
            <w:tcW w:type="dxa" w:w="6120"/>
            <w:vAlign w:val="center"/>
          </w:tcPr>
          <w:p>
            <w:pPr>
              <w:spacing w:after="0" w:before="0" w:line="240" w:lineRule="auto"/>
              <w:jc w:val="left"/>
            </w:pPr>
            <w:r/>
            <w:r>
              <w:rPr>
                <w:rFonts w:ascii="Cambria" w:hAnsi="Cambria"/>
                <w:b w:val="0"/>
                <w:i w:val="0"/>
                <w:color w:val="000000"/>
                <w:sz w:val="18"/>
              </w:rPr>
              <w:t>Process owner + food safety technical review + authorized approval before release.</w:t>
            </w:r>
          </w:p>
        </w:tc>
      </w:tr>
      <w:tr>
        <w:trPr>
          <w:cantSplit/>
        </w:trPr>
        <w:tc>
          <w:tcPr>
            <w:tcW w:type="dxa" w:w="3168"/>
            <w:vAlign w:val="center"/>
          </w:tcPr>
          <w:p>
            <w:pPr>
              <w:spacing w:after="0" w:before="0" w:line="240" w:lineRule="auto"/>
              <w:jc w:val="left"/>
            </w:pPr>
            <w:r/>
            <w:r>
              <w:rPr>
                <w:rFonts w:ascii="Cambria" w:hAnsi="Cambria"/>
                <w:b w:val="0"/>
                <w:i w:val="0"/>
                <w:color w:val="000000"/>
                <w:sz w:val="18"/>
              </w:rPr>
              <w:t>Hazard analysis / hazard control plan change</w:t>
            </w:r>
          </w:p>
        </w:tc>
        <w:tc>
          <w:tcPr>
            <w:tcW w:type="dxa" w:w="6120"/>
            <w:vAlign w:val="center"/>
          </w:tcPr>
          <w:p>
            <w:pPr>
              <w:spacing w:after="0" w:before="0" w:line="240" w:lineRule="auto"/>
              <w:jc w:val="left"/>
            </w:pPr>
            <w:r/>
            <w:r>
              <w:rPr>
                <w:rFonts w:ascii="Cambria" w:hAnsi="Cambria"/>
                <w:b w:val="0"/>
                <w:i w:val="0"/>
                <w:color w:val="000000"/>
                <w:sz w:val="18"/>
              </w:rPr>
              <w:t>Food safety team review; validation / verification considerations as applicable; approval under defined governance.</w:t>
            </w:r>
          </w:p>
        </w:tc>
      </w:tr>
      <w:tr>
        <w:trPr>
          <w:cantSplit/>
        </w:trPr>
        <w:tc>
          <w:tcPr>
            <w:tcW w:type="dxa" w:w="3168"/>
            <w:vAlign w:val="center"/>
          </w:tcPr>
          <w:p>
            <w:pPr>
              <w:spacing w:after="0" w:before="0" w:line="240" w:lineRule="auto"/>
              <w:jc w:val="left"/>
            </w:pPr>
            <w:r/>
            <w:r>
              <w:rPr>
                <w:rFonts w:ascii="Cambria" w:hAnsi="Cambria"/>
                <w:b w:val="0"/>
                <w:i w:val="0"/>
                <w:color w:val="000000"/>
                <w:sz w:val="18"/>
              </w:rPr>
              <w:t>Administrative template with no food safety impact</w:t>
            </w:r>
          </w:p>
        </w:tc>
        <w:tc>
          <w:tcPr>
            <w:tcW w:type="dxa" w:w="6120"/>
            <w:vAlign w:val="center"/>
          </w:tcPr>
          <w:p>
            <w:pPr>
              <w:spacing w:after="0" w:before="0" w:line="240" w:lineRule="auto"/>
              <w:jc w:val="left"/>
            </w:pPr>
            <w:r/>
            <w:r>
              <w:rPr>
                <w:rFonts w:ascii="Cambria" w:hAnsi="Cambria"/>
                <w:b w:val="0"/>
                <w:i w:val="0"/>
                <w:color w:val="000000"/>
                <w:sz w:val="18"/>
              </w:rPr>
              <w:t>Owner review and controlled release; escalation only if required by internal governance.</w:t>
            </w:r>
          </w:p>
        </w:tc>
      </w:tr>
      <w:tr>
        <w:trPr>
          <w:cantSplit/>
        </w:trPr>
        <w:tc>
          <w:tcPr>
            <w:tcW w:type="dxa" w:w="3168"/>
            <w:vAlign w:val="center"/>
          </w:tcPr>
          <w:p>
            <w:pPr>
              <w:spacing w:after="0" w:before="0" w:line="240" w:lineRule="auto"/>
              <w:jc w:val="left"/>
            </w:pPr>
            <w:r/>
            <w:r>
              <w:rPr>
                <w:rFonts w:ascii="Cambria" w:hAnsi="Cambria"/>
                <w:b w:val="0"/>
                <w:i w:val="0"/>
                <w:color w:val="000000"/>
                <w:sz w:val="18"/>
              </w:rPr>
              <w:t>External specification revision</w:t>
            </w:r>
          </w:p>
        </w:tc>
        <w:tc>
          <w:tcPr>
            <w:tcW w:type="dxa" w:w="6120"/>
            <w:vAlign w:val="center"/>
          </w:tcPr>
          <w:p>
            <w:pPr>
              <w:spacing w:after="0" w:before="0" w:line="240" w:lineRule="auto"/>
              <w:jc w:val="left"/>
            </w:pPr>
            <w:r/>
            <w:r>
              <w:rPr>
                <w:rFonts w:ascii="Cambria" w:hAnsi="Cambria"/>
                <w:b w:val="0"/>
                <w:i w:val="0"/>
                <w:color w:val="000000"/>
                <w:sz w:val="18"/>
              </w:rPr>
              <w:t>Verify source, assess applicability and evaluate operational / food safety impact before replacing the prior version.</w:t>
            </w:r>
          </w:p>
        </w:tc>
      </w:tr>
      <w:tr>
        <w:trPr>
          <w:cantSplit/>
        </w:trPr>
        <w:tc>
          <w:tcPr>
            <w:tcW w:type="dxa" w:w="3168"/>
            <w:vAlign w:val="center"/>
          </w:tcPr>
          <w:p>
            <w:pPr>
              <w:spacing w:after="0" w:before="0" w:line="240" w:lineRule="auto"/>
              <w:jc w:val="left"/>
            </w:pPr>
            <w:r/>
            <w:r>
              <w:rPr>
                <w:rFonts w:ascii="Cambria" w:hAnsi="Cambria"/>
                <w:b w:val="0"/>
                <w:i w:val="0"/>
                <w:color w:val="000000"/>
                <w:sz w:val="18"/>
              </w:rPr>
              <w:t>Emergency temporary instruction</w:t>
            </w:r>
          </w:p>
        </w:tc>
        <w:tc>
          <w:tcPr>
            <w:tcW w:type="dxa" w:w="6120"/>
            <w:vAlign w:val="center"/>
          </w:tcPr>
          <w:p>
            <w:pPr>
              <w:spacing w:after="0" w:before="0" w:line="240" w:lineRule="auto"/>
              <w:jc w:val="left"/>
            </w:pPr>
            <w:r/>
            <w:r>
              <w:rPr>
                <w:rFonts w:ascii="Cambria" w:hAnsi="Cambria"/>
                <w:b w:val="0"/>
                <w:i w:val="0"/>
                <w:color w:val="000000"/>
                <w:sz w:val="18"/>
              </w:rPr>
              <w:t>Rapid risk-based authorization, clear expiry / review date, controlled communication and subsequent formal review.</w:t>
            </w:r>
          </w:p>
        </w:tc>
      </w:tr>
    </w:tbl>
    <w:p>
      <w:pPr>
        <w:pStyle w:val="Heading1"/>
        <w:keepNext/>
      </w:pPr>
      <w:r>
        <w:t>7. Distribution and Point-of-Use Control</w:t>
      </w:r>
    </w:p>
    <w:p>
      <w:pPr>
        <w:pStyle w:val="ListBullet"/>
        <w:spacing w:after="40"/>
        <w:ind w:left="340" w:hanging="170"/>
      </w:pPr>
      <w:r>
        <w:rPr>
          <w:rFonts w:ascii="Cambria" w:hAnsi="Cambria"/>
          <w:b w:val="0"/>
          <w:i w:val="0"/>
          <w:color w:val="000000"/>
          <w:sz w:val="20"/>
        </w:rPr>
        <w:t>Use one authoritative repository for controlled originals wherever practical.</w:t>
      </w:r>
    </w:p>
    <w:p>
      <w:pPr>
        <w:pStyle w:val="ListBullet"/>
        <w:spacing w:after="40"/>
        <w:ind w:left="340" w:hanging="170"/>
      </w:pPr>
      <w:r>
        <w:rPr>
          <w:rFonts w:ascii="Cambria" w:hAnsi="Cambria"/>
          <w:b w:val="0"/>
          <w:i w:val="0"/>
          <w:color w:val="000000"/>
          <w:sz w:val="20"/>
        </w:rPr>
        <w:t>Provide view access to the people who need the information and edit / approve rights only to authorized roles.</w:t>
      </w:r>
    </w:p>
    <w:p>
      <w:pPr>
        <w:pStyle w:val="ListBullet"/>
        <w:spacing w:after="40"/>
        <w:ind w:left="340" w:hanging="170"/>
      </w:pPr>
      <w:r>
        <w:rPr>
          <w:rFonts w:ascii="Cambria" w:hAnsi="Cambria"/>
          <w:b w:val="0"/>
          <w:i w:val="0"/>
          <w:color w:val="000000"/>
          <w:sz w:val="20"/>
        </w:rPr>
        <w:t>Where paper copies are required in production or warehouse areas, define whether they are controlled copies, how replacements are issued and how obsolete copies are removed.</w:t>
      </w:r>
    </w:p>
    <w:p>
      <w:pPr>
        <w:pStyle w:val="ListBullet"/>
        <w:spacing w:after="40"/>
        <w:ind w:left="340" w:hanging="170"/>
      </w:pPr>
      <w:r>
        <w:rPr>
          <w:rFonts w:ascii="Cambria" w:hAnsi="Cambria"/>
          <w:b w:val="0"/>
          <w:i w:val="0"/>
          <w:color w:val="000000"/>
          <w:sz w:val="20"/>
        </w:rPr>
        <w:t>Avoid uncontrolled local copies of food-safety-critical instructions when the controlled source is electronic.</w:t>
      </w:r>
    </w:p>
    <w:p>
      <w:pPr>
        <w:pStyle w:val="ListBullet"/>
        <w:spacing w:after="40"/>
        <w:ind w:left="340" w:hanging="170"/>
      </w:pPr>
      <w:r>
        <w:rPr>
          <w:rFonts w:ascii="Cambria" w:hAnsi="Cambria"/>
          <w:b w:val="0"/>
          <w:i w:val="0"/>
          <w:color w:val="000000"/>
          <w:sz w:val="20"/>
        </w:rPr>
        <w:t>For mobile or offline use, define synchronization and outdated-copy controls.</w:t>
      </w:r>
    </w:p>
    <w:p>
      <w:pPr>
        <w:pStyle w:val="Heading1"/>
        <w:keepNext/>
      </w:pPr>
      <w:r>
        <w:t>8. Electronic Record Integrity</w:t>
      </w:r>
    </w:p>
    <w:p>
      <w:pPr>
        <w:pStyle w:val="BodyText"/>
      </w:pPr>
      <w:r>
        <w:rPr>
          <w:rFonts w:ascii="Cambria" w:hAnsi="Cambria"/>
          <w:b w:val="0"/>
          <w:i w:val="0"/>
          <w:color w:val="000000"/>
          <w:sz w:val="21"/>
        </w:rPr>
        <w:t>Electronic systems do not need excessive complexity, but they must support the level of integrity required by the risk. The organization should be able to demonstrate who can create, change, approve, view and delete information; how records are backed up; and how data can be retrieved during an investigation, audit or emergency.</w:t>
      </w:r>
    </w:p>
    <w:tbl>
      <w:tblPr>
        <w:tblStyle w:val="TableGrid"/>
        <w:tblW w:type="auto" w:w="0"/>
        <w:jc w:val="center"/>
        <w:tblLayout w:type="fixed"/>
        <w:tblLook w:val="04A0"/>
      </w:tblPr>
      <w:tblGrid>
        <w:gridCol w:w="4677"/>
        <w:gridCol w:w="4677"/>
      </w:tblGrid>
      <w:tr>
        <w:trPr>
          <w:cantSplit/>
          <w:tblHeader w:val="true"/>
        </w:trPr>
        <w:tc>
          <w:tcPr>
            <w:tcW w:type="dxa" w:w="2088"/>
            <w:vAlign w:val="center"/>
            <w:shd w:fill="D9EAF7" w:val="clear"/>
          </w:tcPr>
          <w:p>
            <w:pPr>
              <w:spacing w:after="0" w:before="0" w:line="240" w:lineRule="auto"/>
              <w:jc w:val="center"/>
            </w:pPr>
            <w:r/>
            <w:r>
              <w:rPr>
                <w:rFonts w:ascii="Cambria" w:hAnsi="Cambria"/>
                <w:b/>
                <w:i w:val="0"/>
                <w:color w:val="000000"/>
                <w:sz w:val="18"/>
              </w:rPr>
              <w:t>Control Area</w:t>
            </w:r>
          </w:p>
        </w:tc>
        <w:tc>
          <w:tcPr>
            <w:tcW w:type="dxa" w:w="7200"/>
            <w:vAlign w:val="center"/>
            <w:shd w:fill="D9EAF7" w:val="clear"/>
          </w:tcPr>
          <w:p>
            <w:pPr>
              <w:spacing w:after="0" w:before="0" w:line="240" w:lineRule="auto"/>
              <w:jc w:val="center"/>
            </w:pPr>
            <w:r/>
            <w:r>
              <w:rPr>
                <w:rFonts w:ascii="Cambria" w:hAnsi="Cambria"/>
                <w:b/>
                <w:i w:val="0"/>
                <w:color w:val="000000"/>
                <w:sz w:val="18"/>
              </w:rPr>
              <w:t>Questions to Ask</w:t>
            </w:r>
          </w:p>
        </w:tc>
      </w:tr>
      <w:tr>
        <w:trPr>
          <w:cantSplit/>
        </w:trPr>
        <w:tc>
          <w:tcPr>
            <w:tcW w:type="dxa" w:w="2088"/>
            <w:vAlign w:val="center"/>
          </w:tcPr>
          <w:p>
            <w:pPr>
              <w:spacing w:after="0" w:before="0" w:line="240" w:lineRule="auto"/>
              <w:jc w:val="left"/>
            </w:pPr>
            <w:r/>
            <w:r>
              <w:rPr>
                <w:rFonts w:ascii="Cambria" w:hAnsi="Cambria"/>
                <w:b w:val="0"/>
                <w:i w:val="0"/>
                <w:color w:val="000000"/>
                <w:sz w:val="18"/>
              </w:rPr>
              <w:t>Access</w:t>
            </w:r>
          </w:p>
        </w:tc>
        <w:tc>
          <w:tcPr>
            <w:tcW w:type="dxa" w:w="7200"/>
            <w:vAlign w:val="center"/>
          </w:tcPr>
          <w:p>
            <w:pPr>
              <w:spacing w:after="0" w:before="0" w:line="240" w:lineRule="auto"/>
              <w:jc w:val="left"/>
            </w:pPr>
            <w:r/>
            <w:r>
              <w:rPr>
                <w:rFonts w:ascii="Cambria" w:hAnsi="Cambria"/>
                <w:b w:val="0"/>
                <w:i w:val="0"/>
                <w:color w:val="000000"/>
                <w:sz w:val="18"/>
              </w:rPr>
              <w:t>Who can create, edit, approve or delete? Are shared accounts avoided for critical records?</w:t>
            </w:r>
          </w:p>
        </w:tc>
      </w:tr>
      <w:tr>
        <w:trPr>
          <w:cantSplit/>
        </w:trPr>
        <w:tc>
          <w:tcPr>
            <w:tcW w:type="dxa" w:w="2088"/>
            <w:vAlign w:val="center"/>
          </w:tcPr>
          <w:p>
            <w:pPr>
              <w:spacing w:after="0" w:before="0" w:line="240" w:lineRule="auto"/>
              <w:jc w:val="left"/>
            </w:pPr>
            <w:r/>
            <w:r>
              <w:rPr>
                <w:rFonts w:ascii="Cambria" w:hAnsi="Cambria"/>
                <w:b w:val="0"/>
                <w:i w:val="0"/>
                <w:color w:val="000000"/>
                <w:sz w:val="18"/>
              </w:rPr>
              <w:t>Change traceability</w:t>
            </w:r>
          </w:p>
        </w:tc>
        <w:tc>
          <w:tcPr>
            <w:tcW w:type="dxa" w:w="7200"/>
            <w:vAlign w:val="center"/>
          </w:tcPr>
          <w:p>
            <w:pPr>
              <w:spacing w:after="0" w:before="0" w:line="240" w:lineRule="auto"/>
              <w:jc w:val="left"/>
            </w:pPr>
            <w:r/>
            <w:r>
              <w:rPr>
                <w:rFonts w:ascii="Cambria" w:hAnsi="Cambria"/>
                <w:b w:val="0"/>
                <w:i w:val="0"/>
                <w:color w:val="000000"/>
                <w:sz w:val="18"/>
              </w:rPr>
              <w:t>Can material changes be attributed to a user and date / time?</w:t>
            </w:r>
          </w:p>
        </w:tc>
      </w:tr>
      <w:tr>
        <w:trPr>
          <w:cantSplit/>
        </w:trPr>
        <w:tc>
          <w:tcPr>
            <w:tcW w:type="dxa" w:w="2088"/>
            <w:vAlign w:val="center"/>
          </w:tcPr>
          <w:p>
            <w:pPr>
              <w:spacing w:after="0" w:before="0" w:line="240" w:lineRule="auto"/>
              <w:jc w:val="left"/>
            </w:pPr>
            <w:r/>
            <w:r>
              <w:rPr>
                <w:rFonts w:ascii="Cambria" w:hAnsi="Cambria"/>
                <w:b w:val="0"/>
                <w:i w:val="0"/>
                <w:color w:val="000000"/>
                <w:sz w:val="18"/>
              </w:rPr>
              <w:t>Backup</w:t>
            </w:r>
          </w:p>
        </w:tc>
        <w:tc>
          <w:tcPr>
            <w:tcW w:type="dxa" w:w="7200"/>
            <w:vAlign w:val="center"/>
          </w:tcPr>
          <w:p>
            <w:pPr>
              <w:spacing w:after="0" w:before="0" w:line="240" w:lineRule="auto"/>
              <w:jc w:val="left"/>
            </w:pPr>
            <w:r/>
            <w:r>
              <w:rPr>
                <w:rFonts w:ascii="Cambria" w:hAnsi="Cambria"/>
                <w:b w:val="0"/>
                <w:i w:val="0"/>
                <w:color w:val="000000"/>
                <w:sz w:val="18"/>
              </w:rPr>
              <w:t>Is critical information backed up at a frequency aligned with operational risk?</w:t>
            </w:r>
          </w:p>
        </w:tc>
      </w:tr>
      <w:tr>
        <w:trPr>
          <w:cantSplit/>
        </w:trPr>
        <w:tc>
          <w:tcPr>
            <w:tcW w:type="dxa" w:w="2088"/>
            <w:vAlign w:val="center"/>
          </w:tcPr>
          <w:p>
            <w:pPr>
              <w:spacing w:after="0" w:before="0" w:line="240" w:lineRule="auto"/>
              <w:jc w:val="left"/>
            </w:pPr>
            <w:r/>
            <w:r>
              <w:rPr>
                <w:rFonts w:ascii="Cambria" w:hAnsi="Cambria"/>
                <w:b w:val="0"/>
                <w:i w:val="0"/>
                <w:color w:val="000000"/>
                <w:sz w:val="18"/>
              </w:rPr>
              <w:t>Recovery</w:t>
            </w:r>
          </w:p>
        </w:tc>
        <w:tc>
          <w:tcPr>
            <w:tcW w:type="dxa" w:w="7200"/>
            <w:vAlign w:val="center"/>
          </w:tcPr>
          <w:p>
            <w:pPr>
              <w:spacing w:after="0" w:before="0" w:line="240" w:lineRule="auto"/>
              <w:jc w:val="left"/>
            </w:pPr>
            <w:r/>
            <w:r>
              <w:rPr>
                <w:rFonts w:ascii="Cambria" w:hAnsi="Cambria"/>
                <w:b w:val="0"/>
                <w:i w:val="0"/>
                <w:color w:val="000000"/>
                <w:sz w:val="18"/>
              </w:rPr>
              <w:t>Has restoration been tested or otherwise demonstrated?</w:t>
            </w:r>
          </w:p>
        </w:tc>
      </w:tr>
      <w:tr>
        <w:trPr>
          <w:cantSplit/>
        </w:trPr>
        <w:tc>
          <w:tcPr>
            <w:tcW w:type="dxa" w:w="2088"/>
            <w:vAlign w:val="center"/>
          </w:tcPr>
          <w:p>
            <w:pPr>
              <w:spacing w:after="0" w:before="0" w:line="240" w:lineRule="auto"/>
              <w:jc w:val="left"/>
            </w:pPr>
            <w:r/>
            <w:r>
              <w:rPr>
                <w:rFonts w:ascii="Cambria" w:hAnsi="Cambria"/>
                <w:b w:val="0"/>
                <w:i w:val="0"/>
                <w:color w:val="000000"/>
                <w:sz w:val="18"/>
              </w:rPr>
              <w:t>Availability</w:t>
            </w:r>
          </w:p>
        </w:tc>
        <w:tc>
          <w:tcPr>
            <w:tcW w:type="dxa" w:w="7200"/>
            <w:vAlign w:val="center"/>
          </w:tcPr>
          <w:p>
            <w:pPr>
              <w:spacing w:after="0" w:before="0" w:line="240" w:lineRule="auto"/>
              <w:jc w:val="left"/>
            </w:pPr>
            <w:r/>
            <w:r>
              <w:rPr>
                <w:rFonts w:ascii="Cambria" w:hAnsi="Cambria"/>
                <w:b w:val="0"/>
                <w:i w:val="0"/>
                <w:color w:val="000000"/>
                <w:sz w:val="18"/>
              </w:rPr>
              <w:t>Can critical instructions / records be accessed during planned or unplanned system outages?</w:t>
            </w:r>
          </w:p>
        </w:tc>
      </w:tr>
      <w:tr>
        <w:trPr>
          <w:cantSplit/>
        </w:trPr>
        <w:tc>
          <w:tcPr>
            <w:tcW w:type="dxa" w:w="2088"/>
            <w:vAlign w:val="center"/>
          </w:tcPr>
          <w:p>
            <w:pPr>
              <w:spacing w:after="0" w:before="0" w:line="240" w:lineRule="auto"/>
              <w:jc w:val="left"/>
            </w:pPr>
            <w:r/>
            <w:r>
              <w:rPr>
                <w:rFonts w:ascii="Cambria" w:hAnsi="Cambria"/>
                <w:b w:val="0"/>
                <w:i w:val="0"/>
                <w:color w:val="000000"/>
                <w:sz w:val="18"/>
              </w:rPr>
              <w:t>Retention</w:t>
            </w:r>
          </w:p>
        </w:tc>
        <w:tc>
          <w:tcPr>
            <w:tcW w:type="dxa" w:w="7200"/>
            <w:vAlign w:val="center"/>
          </w:tcPr>
          <w:p>
            <w:pPr>
              <w:spacing w:after="0" w:before="0" w:line="240" w:lineRule="auto"/>
              <w:jc w:val="left"/>
            </w:pPr>
            <w:r/>
            <w:r>
              <w:rPr>
                <w:rFonts w:ascii="Cambria" w:hAnsi="Cambria"/>
                <w:b w:val="0"/>
                <w:i w:val="0"/>
                <w:color w:val="000000"/>
                <w:sz w:val="18"/>
              </w:rPr>
              <w:t>Does the system preserve records for the defined period without silent deletion or overwriting?</w:t>
            </w:r>
          </w:p>
        </w:tc>
      </w:tr>
    </w:tbl>
    <w:p>
      <w:pPr>
        <w:pStyle w:val="Heading1"/>
        <w:keepNext/>
      </w:pPr>
      <w:r>
        <w:t>9. Record Completion Rules</w:t>
      </w:r>
    </w:p>
    <w:p>
      <w:pPr>
        <w:pStyle w:val="ListBullet"/>
        <w:spacing w:after="40"/>
        <w:ind w:left="340" w:hanging="170"/>
      </w:pPr>
      <w:r>
        <w:rPr>
          <w:rFonts w:ascii="Cambria" w:hAnsi="Cambria"/>
          <w:b w:val="0"/>
          <w:i w:val="0"/>
          <w:color w:val="000000"/>
          <w:sz w:val="20"/>
        </w:rPr>
        <w:t>Record the result that actually occurred; do not pre-complete routine monitoring or verification records.</w:t>
      </w:r>
    </w:p>
    <w:p>
      <w:pPr>
        <w:pStyle w:val="ListBullet"/>
        <w:spacing w:after="40"/>
        <w:ind w:left="340" w:hanging="170"/>
      </w:pPr>
      <w:r>
        <w:rPr>
          <w:rFonts w:ascii="Cambria" w:hAnsi="Cambria"/>
          <w:b w:val="0"/>
          <w:i w:val="0"/>
          <w:color w:val="000000"/>
          <w:sz w:val="20"/>
        </w:rPr>
        <w:t>Use N/A when a field is not applicable and omission could be misunderstood as missed work.</w:t>
      </w:r>
    </w:p>
    <w:p>
      <w:pPr>
        <w:pStyle w:val="ListBullet"/>
        <w:spacing w:after="40"/>
        <w:ind w:left="340" w:hanging="170"/>
      </w:pPr>
      <w:r>
        <w:rPr>
          <w:rFonts w:ascii="Cambria" w:hAnsi="Cambria"/>
          <w:b w:val="0"/>
          <w:i w:val="0"/>
          <w:color w:val="000000"/>
          <w:sz w:val="20"/>
        </w:rPr>
        <w:t>For failed or out-of-limit results, record the immediate correction / disposition and link to the related investigation or corrective action when required.</w:t>
      </w:r>
    </w:p>
    <w:p>
      <w:pPr>
        <w:pStyle w:val="ListBullet"/>
        <w:spacing w:after="40"/>
        <w:ind w:left="340" w:hanging="170"/>
      </w:pPr>
      <w:r>
        <w:rPr>
          <w:rFonts w:ascii="Cambria" w:hAnsi="Cambria"/>
          <w:b w:val="0"/>
          <w:i w:val="0"/>
          <w:color w:val="000000"/>
          <w:sz w:val="20"/>
        </w:rPr>
        <w:t>Preserve original information when correcting material records. Do not obscure the original entry on paper records.</w:t>
      </w:r>
    </w:p>
    <w:p>
      <w:pPr>
        <w:pStyle w:val="ListBullet"/>
        <w:spacing w:after="40"/>
        <w:ind w:left="340" w:hanging="170"/>
      </w:pPr>
      <w:r>
        <w:rPr>
          <w:rFonts w:ascii="Cambria" w:hAnsi="Cambria"/>
          <w:b w:val="0"/>
          <w:i w:val="0"/>
          <w:color w:val="000000"/>
          <w:sz w:val="20"/>
        </w:rPr>
        <w:t>Ensure automatic system records have synchronized time and reliable source identification where timing is relevant to food safety decisions.</w:t>
      </w:r>
    </w:p>
    <w:p>
      <w:pPr>
        <w:pStyle w:val="Heading1"/>
        <w:keepNext/>
      </w:pPr>
      <w:r>
        <w:t>10. Retention Schedule Design</w:t>
      </w:r>
    </w:p>
    <w:p>
      <w:pPr>
        <w:pStyle w:val="BodyText"/>
      </w:pPr>
      <w:r>
        <w:rPr>
          <w:rFonts w:ascii="Cambria" w:hAnsi="Cambria"/>
          <w:b w:val="0"/>
          <w:i w:val="0"/>
          <w:color w:val="000000"/>
          <w:sz w:val="21"/>
        </w:rPr>
        <w:t>A retention schedule should use a documented rationale rather than one arbitrary period for every record. Consider applicable law, customer requirements, product shelf life, shelf-life extensions, distribution time, traceability / recall expectations, complaint / claim periods, certification cycles and the need to trend recurring issues.</w:t>
      </w:r>
    </w:p>
    <w:tbl>
      <w:tblPr>
        <w:tblStyle w:val="TableGrid"/>
        <w:tblW w:type="auto" w:w="0"/>
        <w:jc w:val="center"/>
        <w:tblLayout w:type="fixed"/>
        <w:tblLook w:val="04A0"/>
      </w:tblPr>
      <w:tblGrid>
        <w:gridCol w:w="4677"/>
        <w:gridCol w:w="4677"/>
      </w:tblGrid>
      <w:tr>
        <w:trPr>
          <w:cantSplit/>
          <w:tblHeader w:val="true"/>
        </w:trPr>
        <w:tc>
          <w:tcPr>
            <w:tcW w:type="dxa" w:w="2880"/>
            <w:vAlign w:val="center"/>
            <w:shd w:fill="D9EAF7" w:val="clear"/>
          </w:tcPr>
          <w:p>
            <w:pPr>
              <w:spacing w:after="0" w:before="0" w:line="240" w:lineRule="auto"/>
              <w:jc w:val="center"/>
            </w:pPr>
            <w:r/>
            <w:r>
              <w:rPr>
                <w:rFonts w:ascii="Cambria" w:hAnsi="Cambria"/>
                <w:b/>
                <w:i w:val="0"/>
                <w:color w:val="000000"/>
                <w:sz w:val="18"/>
              </w:rPr>
              <w:t>Decision Factor</w:t>
            </w:r>
          </w:p>
        </w:tc>
        <w:tc>
          <w:tcPr>
            <w:tcW w:type="dxa" w:w="6408"/>
            <w:vAlign w:val="center"/>
            <w:shd w:fill="D9EAF7" w:val="clear"/>
          </w:tcPr>
          <w:p>
            <w:pPr>
              <w:spacing w:after="0" w:before="0" w:line="240" w:lineRule="auto"/>
              <w:jc w:val="center"/>
            </w:pPr>
            <w:r/>
            <w:r>
              <w:rPr>
                <w:rFonts w:ascii="Cambria" w:hAnsi="Cambria"/>
                <w:b/>
                <w:i w:val="0"/>
                <w:color w:val="000000"/>
                <w:sz w:val="18"/>
              </w:rPr>
              <w:t>Example Application</w:t>
            </w:r>
          </w:p>
        </w:tc>
      </w:tr>
      <w:tr>
        <w:trPr>
          <w:cantSplit/>
        </w:trPr>
        <w:tc>
          <w:tcPr>
            <w:tcW w:type="dxa" w:w="2880"/>
            <w:vAlign w:val="center"/>
          </w:tcPr>
          <w:p>
            <w:pPr>
              <w:spacing w:after="0" w:before="0" w:line="240" w:lineRule="auto"/>
              <w:jc w:val="left"/>
            </w:pPr>
            <w:r/>
            <w:r>
              <w:rPr>
                <w:rFonts w:ascii="Cambria" w:hAnsi="Cambria"/>
                <w:b w:val="0"/>
                <w:i w:val="0"/>
                <w:color w:val="000000"/>
                <w:sz w:val="18"/>
              </w:rPr>
              <w:t>Product / lot traceability</w:t>
            </w:r>
          </w:p>
        </w:tc>
        <w:tc>
          <w:tcPr>
            <w:tcW w:type="dxa" w:w="6408"/>
            <w:vAlign w:val="center"/>
          </w:tcPr>
          <w:p>
            <w:pPr>
              <w:spacing w:after="0" w:before="0" w:line="240" w:lineRule="auto"/>
              <w:jc w:val="left"/>
            </w:pPr>
            <w:r/>
            <w:r>
              <w:rPr>
                <w:rFonts w:ascii="Cambria" w:hAnsi="Cambria"/>
                <w:b w:val="0"/>
                <w:i w:val="0"/>
                <w:color w:val="000000"/>
                <w:sz w:val="18"/>
              </w:rPr>
              <w:t>Retain long enough to support the organization’s defined traceability and withdrawal / recall needs.</w:t>
            </w:r>
          </w:p>
        </w:tc>
      </w:tr>
      <w:tr>
        <w:trPr>
          <w:cantSplit/>
        </w:trPr>
        <w:tc>
          <w:tcPr>
            <w:tcW w:type="dxa" w:w="2880"/>
            <w:vAlign w:val="center"/>
          </w:tcPr>
          <w:p>
            <w:pPr>
              <w:spacing w:after="0" w:before="0" w:line="240" w:lineRule="auto"/>
              <w:jc w:val="left"/>
            </w:pPr>
            <w:r/>
            <w:r>
              <w:rPr>
                <w:rFonts w:ascii="Cambria" w:hAnsi="Cambria"/>
                <w:b w:val="0"/>
                <w:i w:val="0"/>
                <w:color w:val="000000"/>
                <w:sz w:val="18"/>
              </w:rPr>
              <w:t>Hazard-control evidence</w:t>
            </w:r>
          </w:p>
        </w:tc>
        <w:tc>
          <w:tcPr>
            <w:tcW w:type="dxa" w:w="6408"/>
            <w:vAlign w:val="center"/>
          </w:tcPr>
          <w:p>
            <w:pPr>
              <w:spacing w:after="0" w:before="0" w:line="240" w:lineRule="auto"/>
              <w:jc w:val="left"/>
            </w:pPr>
            <w:r/>
            <w:r>
              <w:rPr>
                <w:rFonts w:ascii="Cambria" w:hAnsi="Cambria"/>
                <w:b w:val="0"/>
                <w:i w:val="0"/>
                <w:color w:val="000000"/>
                <w:sz w:val="18"/>
              </w:rPr>
              <w:t>Retain records that support the safety decision for affected product and subsequent verification.</w:t>
            </w:r>
          </w:p>
        </w:tc>
      </w:tr>
      <w:tr>
        <w:trPr>
          <w:cantSplit/>
        </w:trPr>
        <w:tc>
          <w:tcPr>
            <w:tcW w:type="dxa" w:w="2880"/>
            <w:vAlign w:val="center"/>
          </w:tcPr>
          <w:p>
            <w:pPr>
              <w:spacing w:after="0" w:before="0" w:line="240" w:lineRule="auto"/>
              <w:jc w:val="left"/>
            </w:pPr>
            <w:r/>
            <w:r>
              <w:rPr>
                <w:rFonts w:ascii="Cambria" w:hAnsi="Cambria"/>
                <w:b w:val="0"/>
                <w:i w:val="0"/>
                <w:color w:val="000000"/>
                <w:sz w:val="18"/>
              </w:rPr>
              <w:t>Legal / regulatory requirement</w:t>
            </w:r>
          </w:p>
        </w:tc>
        <w:tc>
          <w:tcPr>
            <w:tcW w:type="dxa" w:w="6408"/>
            <w:vAlign w:val="center"/>
          </w:tcPr>
          <w:p>
            <w:pPr>
              <w:spacing w:after="0" w:before="0" w:line="240" w:lineRule="auto"/>
              <w:jc w:val="left"/>
            </w:pPr>
            <w:r/>
            <w:r>
              <w:rPr>
                <w:rFonts w:ascii="Cambria" w:hAnsi="Cambria"/>
                <w:b w:val="0"/>
                <w:i w:val="0"/>
                <w:color w:val="000000"/>
                <w:sz w:val="18"/>
              </w:rPr>
              <w:t>Use the jurisdiction-specific minimum where it exceeds internal needs.</w:t>
            </w:r>
          </w:p>
        </w:tc>
      </w:tr>
      <w:tr>
        <w:trPr>
          <w:cantSplit/>
        </w:trPr>
        <w:tc>
          <w:tcPr>
            <w:tcW w:type="dxa" w:w="2880"/>
            <w:vAlign w:val="center"/>
          </w:tcPr>
          <w:p>
            <w:pPr>
              <w:spacing w:after="0" w:before="0" w:line="240" w:lineRule="auto"/>
              <w:jc w:val="left"/>
            </w:pPr>
            <w:r/>
            <w:r>
              <w:rPr>
                <w:rFonts w:ascii="Cambria" w:hAnsi="Cambria"/>
                <w:b w:val="0"/>
                <w:i w:val="0"/>
                <w:color w:val="000000"/>
                <w:sz w:val="18"/>
              </w:rPr>
              <w:t>Customer contract / specification</w:t>
            </w:r>
          </w:p>
        </w:tc>
        <w:tc>
          <w:tcPr>
            <w:tcW w:type="dxa" w:w="6408"/>
            <w:vAlign w:val="center"/>
          </w:tcPr>
          <w:p>
            <w:pPr>
              <w:spacing w:after="0" w:before="0" w:line="240" w:lineRule="auto"/>
              <w:jc w:val="left"/>
            </w:pPr>
            <w:r/>
            <w:r>
              <w:rPr>
                <w:rFonts w:ascii="Cambria" w:hAnsi="Cambria"/>
                <w:b w:val="0"/>
                <w:i w:val="0"/>
                <w:color w:val="000000"/>
                <w:sz w:val="18"/>
              </w:rPr>
              <w:t>Apply agreed retention when it is a condition of supply.</w:t>
            </w:r>
          </w:p>
        </w:tc>
      </w:tr>
      <w:tr>
        <w:trPr>
          <w:cantSplit/>
        </w:trPr>
        <w:tc>
          <w:tcPr>
            <w:tcW w:type="dxa" w:w="2880"/>
            <w:vAlign w:val="center"/>
          </w:tcPr>
          <w:p>
            <w:pPr>
              <w:spacing w:after="0" w:before="0" w:line="240" w:lineRule="auto"/>
              <w:jc w:val="left"/>
            </w:pPr>
            <w:r/>
            <w:r>
              <w:rPr>
                <w:rFonts w:ascii="Cambria" w:hAnsi="Cambria"/>
                <w:b w:val="0"/>
                <w:i w:val="0"/>
                <w:color w:val="000000"/>
                <w:sz w:val="18"/>
              </w:rPr>
              <w:t>Trend / system effectiveness</w:t>
            </w:r>
          </w:p>
        </w:tc>
        <w:tc>
          <w:tcPr>
            <w:tcW w:type="dxa" w:w="6408"/>
            <w:vAlign w:val="center"/>
          </w:tcPr>
          <w:p>
            <w:pPr>
              <w:spacing w:after="0" w:before="0" w:line="240" w:lineRule="auto"/>
              <w:jc w:val="left"/>
            </w:pPr>
            <w:r/>
            <w:r>
              <w:rPr>
                <w:rFonts w:ascii="Cambria" w:hAnsi="Cambria"/>
                <w:b w:val="0"/>
                <w:i w:val="0"/>
                <w:color w:val="000000"/>
                <w:sz w:val="18"/>
              </w:rPr>
              <w:t>Retain enough history to compare performance over meaningful management-review and audit cycles.</w:t>
            </w:r>
          </w:p>
        </w:tc>
      </w:tr>
    </w:tbl>
    <w:p>
      <w:pPr>
        <w:pStyle w:val="Heading1"/>
        <w:keepNext/>
      </w:pPr>
      <w:r>
        <w:t>11. Document Review Checklist</w:t>
      </w:r>
    </w:p>
    <w:tbl>
      <w:tblPr>
        <w:tblStyle w:val="TableGrid"/>
        <w:tblW w:type="auto" w:w="0"/>
        <w:jc w:val="center"/>
        <w:tblLayout w:type="fixed"/>
        <w:tblLook w:val="04A0"/>
      </w:tblPr>
      <w:tblGrid>
        <w:gridCol w:w="4677"/>
        <w:gridCol w:w="4677"/>
      </w:tblGrid>
      <w:tr>
        <w:trPr>
          <w:cantSplit/>
          <w:tblHeader w:val="true"/>
        </w:trPr>
        <w:tc>
          <w:tcPr>
            <w:tcW w:type="dxa" w:w="792"/>
            <w:vAlign w:val="center"/>
            <w:shd w:fill="D9EAF7" w:val="clear"/>
          </w:tcPr>
          <w:p>
            <w:pPr>
              <w:spacing w:after="0" w:before="0" w:line="240" w:lineRule="auto"/>
              <w:jc w:val="center"/>
            </w:pPr>
            <w:r/>
            <w:r>
              <w:rPr>
                <w:rFonts w:ascii="Cambria" w:hAnsi="Cambria"/>
                <w:b/>
                <w:i w:val="0"/>
                <w:color w:val="000000"/>
                <w:sz w:val="18"/>
              </w:rPr>
              <w:t>Check</w:t>
            </w:r>
          </w:p>
        </w:tc>
        <w:tc>
          <w:tcPr>
            <w:tcW w:type="dxa" w:w="8496"/>
            <w:vAlign w:val="center"/>
            <w:shd w:fill="D9EAF7" w:val="clear"/>
          </w:tcPr>
          <w:p>
            <w:pPr>
              <w:spacing w:after="0" w:before="0" w:line="240" w:lineRule="auto"/>
              <w:jc w:val="center"/>
            </w:pPr>
            <w:r/>
            <w:r>
              <w:rPr>
                <w:rFonts w:ascii="Cambria" w:hAnsi="Cambria"/>
                <w:b/>
                <w:i w:val="0"/>
                <w:color w:val="000000"/>
                <w:sz w:val="18"/>
              </w:rPr>
              <w:t>Review Question</w:t>
            </w:r>
          </w:p>
        </w:tc>
      </w:tr>
      <w:tr>
        <w:trPr>
          <w:cantSplit/>
        </w:trPr>
        <w:tc>
          <w:tcPr>
            <w:tcW w:type="dxa" w:w="792"/>
            <w:vAlign w:val="center"/>
          </w:tcPr>
          <w:p>
            <w:pPr>
              <w:spacing w:after="0" w:before="0" w:line="240" w:lineRule="auto"/>
              <w:jc w:val="left"/>
            </w:pPr>
            <w:r/>
            <w:r>
              <w:rPr>
                <w:rFonts w:ascii="Cambria" w:hAnsi="Cambria"/>
                <w:b w:val="0"/>
                <w:i w:val="0"/>
                <w:color w:val="000000"/>
                <w:sz w:val="18"/>
              </w:rPr>
              <w:t>[ ]</w:t>
            </w:r>
          </w:p>
        </w:tc>
        <w:tc>
          <w:tcPr>
            <w:tcW w:type="dxa" w:w="8496"/>
            <w:vAlign w:val="center"/>
          </w:tcPr>
          <w:p>
            <w:pPr>
              <w:spacing w:after="0" w:before="0" w:line="240" w:lineRule="auto"/>
              <w:jc w:val="left"/>
            </w:pPr>
            <w:r/>
            <w:r>
              <w:rPr>
                <w:rFonts w:ascii="Cambria" w:hAnsi="Cambria"/>
                <w:b w:val="0"/>
                <w:i w:val="0"/>
                <w:color w:val="000000"/>
                <w:sz w:val="18"/>
              </w:rPr>
              <w:t>Is the purpose clear and the content still operationally correct?</w:t>
            </w:r>
          </w:p>
        </w:tc>
      </w:tr>
      <w:tr>
        <w:trPr>
          <w:cantSplit/>
        </w:trPr>
        <w:tc>
          <w:tcPr>
            <w:tcW w:type="dxa" w:w="792"/>
            <w:vAlign w:val="center"/>
          </w:tcPr>
          <w:p>
            <w:pPr>
              <w:spacing w:after="0" w:before="0" w:line="240" w:lineRule="auto"/>
              <w:jc w:val="left"/>
            </w:pPr>
            <w:r/>
            <w:r>
              <w:rPr>
                <w:rFonts w:ascii="Cambria" w:hAnsi="Cambria"/>
                <w:b w:val="0"/>
                <w:i w:val="0"/>
                <w:color w:val="000000"/>
                <w:sz w:val="18"/>
              </w:rPr>
              <w:t>[ ]</w:t>
            </w:r>
          </w:p>
        </w:tc>
        <w:tc>
          <w:tcPr>
            <w:tcW w:type="dxa" w:w="8496"/>
            <w:vAlign w:val="center"/>
          </w:tcPr>
          <w:p>
            <w:pPr>
              <w:spacing w:after="0" w:before="0" w:line="240" w:lineRule="auto"/>
              <w:jc w:val="left"/>
            </w:pPr>
            <w:r/>
            <w:r>
              <w:rPr>
                <w:rFonts w:ascii="Cambria" w:hAnsi="Cambria"/>
                <w:b w:val="0"/>
                <w:i w:val="0"/>
                <w:color w:val="000000"/>
                <w:sz w:val="18"/>
              </w:rPr>
              <w:t>Does the document reflect current processes, equipment, products and responsibilities?</w:t>
            </w:r>
          </w:p>
        </w:tc>
      </w:tr>
      <w:tr>
        <w:trPr>
          <w:cantSplit/>
        </w:trPr>
        <w:tc>
          <w:tcPr>
            <w:tcW w:type="dxa" w:w="792"/>
            <w:vAlign w:val="center"/>
          </w:tcPr>
          <w:p>
            <w:pPr>
              <w:spacing w:after="0" w:before="0" w:line="240" w:lineRule="auto"/>
              <w:jc w:val="left"/>
            </w:pPr>
            <w:r/>
            <w:r>
              <w:rPr>
                <w:rFonts w:ascii="Cambria" w:hAnsi="Cambria"/>
                <w:b w:val="0"/>
                <w:i w:val="0"/>
                <w:color w:val="000000"/>
                <w:sz w:val="18"/>
              </w:rPr>
              <w:t>[ ]</w:t>
            </w:r>
          </w:p>
        </w:tc>
        <w:tc>
          <w:tcPr>
            <w:tcW w:type="dxa" w:w="8496"/>
            <w:vAlign w:val="center"/>
          </w:tcPr>
          <w:p>
            <w:pPr>
              <w:spacing w:after="0" w:before="0" w:line="240" w:lineRule="auto"/>
              <w:jc w:val="left"/>
            </w:pPr>
            <w:r/>
            <w:r>
              <w:rPr>
                <w:rFonts w:ascii="Cambria" w:hAnsi="Cambria"/>
                <w:b w:val="0"/>
                <w:i w:val="0"/>
                <w:color w:val="000000"/>
                <w:sz w:val="18"/>
              </w:rPr>
              <w:t>Are legal, regulatory, customer and external-source references still current?</w:t>
            </w:r>
          </w:p>
        </w:tc>
      </w:tr>
      <w:tr>
        <w:trPr>
          <w:cantSplit/>
        </w:trPr>
        <w:tc>
          <w:tcPr>
            <w:tcW w:type="dxa" w:w="792"/>
            <w:vAlign w:val="center"/>
          </w:tcPr>
          <w:p>
            <w:pPr>
              <w:spacing w:after="0" w:before="0" w:line="240" w:lineRule="auto"/>
              <w:jc w:val="left"/>
            </w:pPr>
            <w:r/>
            <w:r>
              <w:rPr>
                <w:rFonts w:ascii="Cambria" w:hAnsi="Cambria"/>
                <w:b w:val="0"/>
                <w:i w:val="0"/>
                <w:color w:val="000000"/>
                <w:sz w:val="18"/>
              </w:rPr>
              <w:t>[ ]</w:t>
            </w:r>
          </w:p>
        </w:tc>
        <w:tc>
          <w:tcPr>
            <w:tcW w:type="dxa" w:w="8496"/>
            <w:vAlign w:val="center"/>
          </w:tcPr>
          <w:p>
            <w:pPr>
              <w:spacing w:after="0" w:before="0" w:line="240" w:lineRule="auto"/>
              <w:jc w:val="left"/>
            </w:pPr>
            <w:r/>
            <w:r>
              <w:rPr>
                <w:rFonts w:ascii="Cambria" w:hAnsi="Cambria"/>
                <w:b w:val="0"/>
                <w:i w:val="0"/>
                <w:color w:val="000000"/>
                <w:sz w:val="18"/>
              </w:rPr>
              <w:t>Is the document consistent with hazard analysis, PRPs and the hazard control plan?</w:t>
            </w:r>
          </w:p>
        </w:tc>
      </w:tr>
      <w:tr>
        <w:trPr>
          <w:cantSplit/>
        </w:trPr>
        <w:tc>
          <w:tcPr>
            <w:tcW w:type="dxa" w:w="792"/>
            <w:vAlign w:val="center"/>
          </w:tcPr>
          <w:p>
            <w:pPr>
              <w:spacing w:after="0" w:before="0" w:line="240" w:lineRule="auto"/>
              <w:jc w:val="left"/>
            </w:pPr>
            <w:r/>
            <w:r>
              <w:rPr>
                <w:rFonts w:ascii="Cambria" w:hAnsi="Cambria"/>
                <w:b w:val="0"/>
                <w:i w:val="0"/>
                <w:color w:val="000000"/>
                <w:sz w:val="18"/>
              </w:rPr>
              <w:t>[ ]</w:t>
            </w:r>
          </w:p>
        </w:tc>
        <w:tc>
          <w:tcPr>
            <w:tcW w:type="dxa" w:w="8496"/>
            <w:vAlign w:val="center"/>
          </w:tcPr>
          <w:p>
            <w:pPr>
              <w:spacing w:after="0" w:before="0" w:line="240" w:lineRule="auto"/>
              <w:jc w:val="left"/>
            </w:pPr>
            <w:r/>
            <w:r>
              <w:rPr>
                <w:rFonts w:ascii="Cambria" w:hAnsi="Cambria"/>
                <w:b w:val="0"/>
                <w:i w:val="0"/>
                <w:color w:val="000000"/>
                <w:sz w:val="18"/>
              </w:rPr>
              <w:t>Are forms / records still producing the evidence needed for control and audit?</w:t>
            </w:r>
          </w:p>
        </w:tc>
      </w:tr>
      <w:tr>
        <w:trPr>
          <w:cantSplit/>
        </w:trPr>
        <w:tc>
          <w:tcPr>
            <w:tcW w:type="dxa" w:w="792"/>
            <w:vAlign w:val="center"/>
          </w:tcPr>
          <w:p>
            <w:pPr>
              <w:spacing w:after="0" w:before="0" w:line="240" w:lineRule="auto"/>
              <w:jc w:val="left"/>
            </w:pPr>
            <w:r/>
            <w:r>
              <w:rPr>
                <w:rFonts w:ascii="Cambria" w:hAnsi="Cambria"/>
                <w:b w:val="0"/>
                <w:i w:val="0"/>
                <w:color w:val="000000"/>
                <w:sz w:val="18"/>
              </w:rPr>
              <w:t>[ ]</w:t>
            </w:r>
          </w:p>
        </w:tc>
        <w:tc>
          <w:tcPr>
            <w:tcW w:type="dxa" w:w="8496"/>
            <w:vAlign w:val="center"/>
          </w:tcPr>
          <w:p>
            <w:pPr>
              <w:spacing w:after="0" w:before="0" w:line="240" w:lineRule="auto"/>
              <w:jc w:val="left"/>
            </w:pPr>
            <w:r/>
            <w:r>
              <w:rPr>
                <w:rFonts w:ascii="Cambria" w:hAnsi="Cambria"/>
                <w:b w:val="0"/>
                <w:i w:val="0"/>
                <w:color w:val="000000"/>
                <w:sz w:val="18"/>
              </w:rPr>
              <w:t>Are access, retention and protection arrangements still adequate?</w:t>
            </w:r>
          </w:p>
        </w:tc>
      </w:tr>
      <w:tr>
        <w:trPr>
          <w:cantSplit/>
        </w:trPr>
        <w:tc>
          <w:tcPr>
            <w:tcW w:type="dxa" w:w="792"/>
            <w:vAlign w:val="center"/>
          </w:tcPr>
          <w:p>
            <w:pPr>
              <w:spacing w:after="0" w:before="0" w:line="240" w:lineRule="auto"/>
              <w:jc w:val="left"/>
            </w:pPr>
            <w:r/>
            <w:r>
              <w:rPr>
                <w:rFonts w:ascii="Cambria" w:hAnsi="Cambria"/>
                <w:b w:val="0"/>
                <w:i w:val="0"/>
                <w:color w:val="000000"/>
                <w:sz w:val="18"/>
              </w:rPr>
              <w:t>[ ]</w:t>
            </w:r>
          </w:p>
        </w:tc>
        <w:tc>
          <w:tcPr>
            <w:tcW w:type="dxa" w:w="8496"/>
            <w:vAlign w:val="center"/>
          </w:tcPr>
          <w:p>
            <w:pPr>
              <w:spacing w:after="0" w:before="0" w:line="240" w:lineRule="auto"/>
              <w:jc w:val="left"/>
            </w:pPr>
            <w:r/>
            <w:r>
              <w:rPr>
                <w:rFonts w:ascii="Cambria" w:hAnsi="Cambria"/>
                <w:b w:val="0"/>
                <w:i w:val="0"/>
                <w:color w:val="000000"/>
                <w:sz w:val="18"/>
              </w:rPr>
              <w:t>Are superseded or duplicate documents creating a risk of wrong-version use?</w:t>
            </w:r>
          </w:p>
        </w:tc>
      </w:tr>
      <w:tr>
        <w:trPr>
          <w:cantSplit/>
        </w:trPr>
        <w:tc>
          <w:tcPr>
            <w:tcW w:type="dxa" w:w="792"/>
            <w:vAlign w:val="center"/>
          </w:tcPr>
          <w:p>
            <w:pPr>
              <w:spacing w:after="0" w:before="0" w:line="240" w:lineRule="auto"/>
              <w:jc w:val="left"/>
            </w:pPr>
            <w:r/>
            <w:r>
              <w:rPr>
                <w:rFonts w:ascii="Cambria" w:hAnsi="Cambria"/>
                <w:b w:val="0"/>
                <w:i w:val="0"/>
                <w:color w:val="000000"/>
                <w:sz w:val="18"/>
              </w:rPr>
              <w:t>[ ]</w:t>
            </w:r>
          </w:p>
        </w:tc>
        <w:tc>
          <w:tcPr>
            <w:tcW w:type="dxa" w:w="8496"/>
            <w:vAlign w:val="center"/>
          </w:tcPr>
          <w:p>
            <w:pPr>
              <w:spacing w:after="0" w:before="0" w:line="240" w:lineRule="auto"/>
              <w:jc w:val="left"/>
            </w:pPr>
            <w:r/>
            <w:r>
              <w:rPr>
                <w:rFonts w:ascii="Cambria" w:hAnsi="Cambria"/>
                <w:b w:val="0"/>
                <w:i w:val="0"/>
                <w:color w:val="000000"/>
                <w:sz w:val="18"/>
              </w:rPr>
              <w:t>Does the revised document require communication, competence verification or training before effective use?</w:t>
            </w:r>
          </w:p>
        </w:tc>
      </w:tr>
    </w:tbl>
    <w:p>
      <w:pPr>
        <w:pStyle w:val="Heading1"/>
        <w:keepNext/>
      </w:pPr>
      <w:r>
        <w:t>12. Common Audit Weaknesses and Practical Responses</w:t>
      </w:r>
    </w:p>
    <w:tbl>
      <w:tblPr>
        <w:tblStyle w:val="TableGrid"/>
        <w:tblW w:type="auto" w:w="0"/>
        <w:jc w:val="center"/>
        <w:tblLayout w:type="fixed"/>
        <w:tblLook w:val="04A0"/>
      </w:tblPr>
      <w:tblGrid>
        <w:gridCol w:w="4677"/>
        <w:gridCol w:w="4677"/>
      </w:tblGrid>
      <w:tr>
        <w:trPr>
          <w:cantSplit/>
          <w:tblHeader w:val="true"/>
        </w:trPr>
        <w:tc>
          <w:tcPr>
            <w:tcW w:type="dxa" w:w="2880"/>
            <w:vAlign w:val="center"/>
            <w:shd w:fill="D9EAF7" w:val="clear"/>
          </w:tcPr>
          <w:p>
            <w:pPr>
              <w:spacing w:after="0" w:before="0" w:line="240" w:lineRule="auto"/>
              <w:jc w:val="center"/>
            </w:pPr>
            <w:r/>
            <w:r>
              <w:rPr>
                <w:rFonts w:ascii="Cambria" w:hAnsi="Cambria"/>
                <w:b/>
                <w:i w:val="0"/>
                <w:color w:val="000000"/>
                <w:sz w:val="17"/>
              </w:rPr>
              <w:t>Weakness</w:t>
            </w:r>
          </w:p>
        </w:tc>
        <w:tc>
          <w:tcPr>
            <w:tcW w:type="dxa" w:w="6408"/>
            <w:vAlign w:val="center"/>
            <w:shd w:fill="D9EAF7" w:val="clear"/>
          </w:tcPr>
          <w:p>
            <w:pPr>
              <w:spacing w:after="0" w:before="0" w:line="240" w:lineRule="auto"/>
              <w:jc w:val="center"/>
            </w:pPr>
            <w:r/>
            <w:r>
              <w:rPr>
                <w:rFonts w:ascii="Cambria" w:hAnsi="Cambria"/>
                <w:b/>
                <w:i w:val="0"/>
                <w:color w:val="000000"/>
                <w:sz w:val="17"/>
              </w:rPr>
              <w:t>Practical Response</w:t>
            </w:r>
          </w:p>
        </w:tc>
      </w:tr>
      <w:tr>
        <w:trPr>
          <w:cantSplit/>
        </w:trPr>
        <w:tc>
          <w:tcPr>
            <w:tcW w:type="dxa" w:w="2880"/>
            <w:vAlign w:val="center"/>
          </w:tcPr>
          <w:p>
            <w:pPr>
              <w:spacing w:after="0" w:before="0" w:line="240" w:lineRule="auto"/>
              <w:jc w:val="left"/>
            </w:pPr>
            <w:r/>
            <w:r>
              <w:rPr>
                <w:rFonts w:ascii="Cambria" w:hAnsi="Cambria"/>
                <w:b w:val="0"/>
                <w:i w:val="0"/>
                <w:color w:val="000000"/>
                <w:sz w:val="17"/>
              </w:rPr>
              <w:t>Current document cannot be identified</w:t>
            </w:r>
          </w:p>
        </w:tc>
        <w:tc>
          <w:tcPr>
            <w:tcW w:type="dxa" w:w="6408"/>
            <w:vAlign w:val="center"/>
          </w:tcPr>
          <w:p>
            <w:pPr>
              <w:spacing w:after="0" w:before="0" w:line="240" w:lineRule="auto"/>
              <w:jc w:val="left"/>
            </w:pPr>
            <w:r/>
            <w:r>
              <w:rPr>
                <w:rFonts w:ascii="Cambria" w:hAnsi="Cambria"/>
                <w:b w:val="0"/>
                <w:i w:val="0"/>
                <w:color w:val="000000"/>
                <w:sz w:val="17"/>
              </w:rPr>
              <w:t>Maintain clear current-version status and one authoritative controlled location.</w:t>
            </w:r>
          </w:p>
        </w:tc>
      </w:tr>
      <w:tr>
        <w:trPr>
          <w:cantSplit/>
        </w:trPr>
        <w:tc>
          <w:tcPr>
            <w:tcW w:type="dxa" w:w="2880"/>
            <w:vAlign w:val="center"/>
          </w:tcPr>
          <w:p>
            <w:pPr>
              <w:spacing w:after="0" w:before="0" w:line="240" w:lineRule="auto"/>
              <w:jc w:val="left"/>
            </w:pPr>
            <w:r/>
            <w:r>
              <w:rPr>
                <w:rFonts w:ascii="Cambria" w:hAnsi="Cambria"/>
                <w:b w:val="0"/>
                <w:i w:val="0"/>
                <w:color w:val="000000"/>
                <w:sz w:val="17"/>
              </w:rPr>
              <w:t>Records are missing or incomplete</w:t>
            </w:r>
          </w:p>
        </w:tc>
        <w:tc>
          <w:tcPr>
            <w:tcW w:type="dxa" w:w="6408"/>
            <w:vAlign w:val="center"/>
          </w:tcPr>
          <w:p>
            <w:pPr>
              <w:spacing w:after="0" w:before="0" w:line="240" w:lineRule="auto"/>
              <w:jc w:val="left"/>
            </w:pPr>
            <w:r/>
            <w:r>
              <w:rPr>
                <w:rFonts w:ascii="Cambria" w:hAnsi="Cambria"/>
                <w:b w:val="0"/>
                <w:i w:val="0"/>
                <w:color w:val="000000"/>
                <w:sz w:val="17"/>
              </w:rPr>
              <w:t>Simplify the form, define completion responsibility and verify record completeness during supervision.</w:t>
            </w:r>
          </w:p>
        </w:tc>
      </w:tr>
      <w:tr>
        <w:trPr>
          <w:cantSplit/>
        </w:trPr>
        <w:tc>
          <w:tcPr>
            <w:tcW w:type="dxa" w:w="2880"/>
            <w:vAlign w:val="center"/>
          </w:tcPr>
          <w:p>
            <w:pPr>
              <w:spacing w:after="0" w:before="0" w:line="240" w:lineRule="auto"/>
              <w:jc w:val="left"/>
            </w:pPr>
            <w:r/>
            <w:r>
              <w:rPr>
                <w:rFonts w:ascii="Cambria" w:hAnsi="Cambria"/>
                <w:b w:val="0"/>
                <w:i w:val="0"/>
                <w:color w:val="000000"/>
                <w:sz w:val="17"/>
              </w:rPr>
              <w:t>External requirements are outdated</w:t>
            </w:r>
          </w:p>
        </w:tc>
        <w:tc>
          <w:tcPr>
            <w:tcW w:type="dxa" w:w="6408"/>
            <w:vAlign w:val="center"/>
          </w:tcPr>
          <w:p>
            <w:pPr>
              <w:spacing w:after="0" w:before="0" w:line="240" w:lineRule="auto"/>
              <w:jc w:val="left"/>
            </w:pPr>
            <w:r/>
            <w:r>
              <w:rPr>
                <w:rFonts w:ascii="Cambria" w:hAnsi="Cambria"/>
                <w:b w:val="0"/>
                <w:i w:val="0"/>
                <w:color w:val="000000"/>
                <w:sz w:val="17"/>
              </w:rPr>
              <w:t>Assign owners and review frequency for critical legal / customer / technical sources.</w:t>
            </w:r>
          </w:p>
        </w:tc>
      </w:tr>
      <w:tr>
        <w:trPr>
          <w:cantSplit/>
        </w:trPr>
        <w:tc>
          <w:tcPr>
            <w:tcW w:type="dxa" w:w="2880"/>
            <w:vAlign w:val="center"/>
          </w:tcPr>
          <w:p>
            <w:pPr>
              <w:spacing w:after="0" w:before="0" w:line="240" w:lineRule="auto"/>
              <w:jc w:val="left"/>
            </w:pPr>
            <w:r/>
            <w:r>
              <w:rPr>
                <w:rFonts w:ascii="Cambria" w:hAnsi="Cambria"/>
                <w:b w:val="0"/>
                <w:i w:val="0"/>
                <w:color w:val="000000"/>
                <w:sz w:val="17"/>
              </w:rPr>
              <w:t>Obsolete work instruction remains at point of use</w:t>
            </w:r>
          </w:p>
        </w:tc>
        <w:tc>
          <w:tcPr>
            <w:tcW w:type="dxa" w:w="6408"/>
            <w:vAlign w:val="center"/>
          </w:tcPr>
          <w:p>
            <w:pPr>
              <w:spacing w:after="0" w:before="0" w:line="240" w:lineRule="auto"/>
              <w:jc w:val="left"/>
            </w:pPr>
            <w:r/>
            <w:r>
              <w:rPr>
                <w:rFonts w:ascii="Cambria" w:hAnsi="Cambria"/>
                <w:b w:val="0"/>
                <w:i w:val="0"/>
                <w:color w:val="000000"/>
                <w:sz w:val="17"/>
              </w:rPr>
              <w:t>Use controlled-copy replacement and removal checks; reduce unnecessary local copies.</w:t>
            </w:r>
          </w:p>
        </w:tc>
      </w:tr>
      <w:tr>
        <w:trPr>
          <w:cantSplit/>
        </w:trPr>
        <w:tc>
          <w:tcPr>
            <w:tcW w:type="dxa" w:w="2880"/>
            <w:vAlign w:val="center"/>
          </w:tcPr>
          <w:p>
            <w:pPr>
              <w:spacing w:after="0" w:before="0" w:line="240" w:lineRule="auto"/>
              <w:jc w:val="left"/>
            </w:pPr>
            <w:r/>
            <w:r>
              <w:rPr>
                <w:rFonts w:ascii="Cambria" w:hAnsi="Cambria"/>
                <w:b w:val="0"/>
                <w:i w:val="0"/>
                <w:color w:val="000000"/>
                <w:sz w:val="17"/>
              </w:rPr>
              <w:t>Electronic records can be edited without traceability</w:t>
            </w:r>
          </w:p>
        </w:tc>
        <w:tc>
          <w:tcPr>
            <w:tcW w:type="dxa" w:w="6408"/>
            <w:vAlign w:val="center"/>
          </w:tcPr>
          <w:p>
            <w:pPr>
              <w:spacing w:after="0" w:before="0" w:line="240" w:lineRule="auto"/>
              <w:jc w:val="left"/>
            </w:pPr>
            <w:r/>
            <w:r>
              <w:rPr>
                <w:rFonts w:ascii="Cambria" w:hAnsi="Cambria"/>
                <w:b w:val="0"/>
                <w:i w:val="0"/>
                <w:color w:val="000000"/>
                <w:sz w:val="17"/>
              </w:rPr>
              <w:t>Restrict permissions or implement an approved correction / audit-trail process proportionate to risk.</w:t>
            </w:r>
          </w:p>
        </w:tc>
      </w:tr>
      <w:tr>
        <w:trPr>
          <w:cantSplit/>
        </w:trPr>
        <w:tc>
          <w:tcPr>
            <w:tcW w:type="dxa" w:w="2880"/>
            <w:vAlign w:val="center"/>
          </w:tcPr>
          <w:p>
            <w:pPr>
              <w:spacing w:after="0" w:before="0" w:line="240" w:lineRule="auto"/>
              <w:jc w:val="left"/>
            </w:pPr>
            <w:r/>
            <w:r>
              <w:rPr>
                <w:rFonts w:ascii="Cambria" w:hAnsi="Cambria"/>
                <w:b w:val="0"/>
                <w:i w:val="0"/>
                <w:color w:val="000000"/>
                <w:sz w:val="17"/>
              </w:rPr>
              <w:t>Retention periods are arbitrary</w:t>
            </w:r>
          </w:p>
        </w:tc>
        <w:tc>
          <w:tcPr>
            <w:tcW w:type="dxa" w:w="6408"/>
            <w:vAlign w:val="center"/>
          </w:tcPr>
          <w:p>
            <w:pPr>
              <w:spacing w:after="0" w:before="0" w:line="240" w:lineRule="auto"/>
              <w:jc w:val="left"/>
            </w:pPr>
            <w:r/>
            <w:r>
              <w:rPr>
                <w:rFonts w:ascii="Cambria" w:hAnsi="Cambria"/>
                <w:b w:val="0"/>
                <w:i w:val="0"/>
                <w:color w:val="000000"/>
                <w:sz w:val="17"/>
              </w:rPr>
              <w:t>Document the rationale using product, legal, customer, traceability and incident needs.</w:t>
            </w:r>
          </w:p>
        </w:tc>
      </w:tr>
    </w:tbl>
    <w:p>
      <w:pPr>
        <w:pStyle w:val="Heading1"/>
        <w:keepNext/>
      </w:pPr>
      <w:r>
        <w:t>References</w:t>
      </w:r>
    </w:p>
    <w:p>
      <w:pPr>
        <w:pStyle w:val="ListBullet"/>
      </w:pPr>
      <w:r>
        <w:rPr>
          <w:rFonts w:ascii="Cambria" w:hAnsi="Cambria"/>
          <w:b w:val="0"/>
          <w:i w:val="0"/>
          <w:color w:val="000000"/>
          <w:sz w:val="19"/>
        </w:rPr>
        <w:t>ISO 22000:2018, Food safety management systems — Requirements for any organization in the food chain; primary relevance: Clause 7.5.</w:t>
      </w:r>
    </w:p>
    <w:p>
      <w:pPr>
        <w:pStyle w:val="ListBullet"/>
      </w:pPr>
      <w:r>
        <w:rPr>
          <w:rFonts w:ascii="Cambria" w:hAnsi="Cambria"/>
          <w:b w:val="0"/>
          <w:i w:val="0"/>
          <w:color w:val="000000"/>
          <w:sz w:val="19"/>
        </w:rPr>
        <w:t>ISO 22000:2018/Amd 1:2024, Amendment 1: Climate action changes.</w:t>
      </w:r>
    </w:p>
    <w:p>
      <w:pPr>
        <w:pStyle w:val="ListBullet"/>
      </w:pPr>
      <w:r>
        <w:rPr>
          <w:rFonts w:ascii="Cambria" w:hAnsi="Cambria"/>
          <w:b w:val="0"/>
          <w:i w:val="0"/>
          <w:color w:val="000000"/>
          <w:sz w:val="19"/>
        </w:rPr>
        <w:t>Documented Information Procedure.</w:t>
      </w:r>
    </w:p>
    <w:p>
      <w:pPr>
        <w:pStyle w:val="Heading1"/>
        <w:keepNext/>
      </w:pPr>
      <w:r>
        <w:t>Revision and Approval</w:t>
      </w:r>
    </w:p>
    <w:tbl>
      <w:tblPr>
        <w:tblStyle w:val="TableGrid"/>
        <w:tblW w:type="auto" w:w="0"/>
        <w:jc w:val="center"/>
        <w:tblLayout w:type="fixed"/>
        <w:tblLook w:val="04A0"/>
      </w:tblPr>
      <w:tblGrid>
        <w:gridCol w:w="1871"/>
        <w:gridCol w:w="1871"/>
        <w:gridCol w:w="1871"/>
        <w:gridCol w:w="1871"/>
        <w:gridCol w:w="1871"/>
      </w:tblGrid>
      <w:tr>
        <w:trPr>
          <w:cantSplit/>
          <w:tblHeader w:val="true"/>
        </w:trPr>
        <w:tc>
          <w:tcPr>
            <w:tcW w:type="dxa" w:w="936"/>
            <w:vAlign w:val="center"/>
            <w:shd w:fill="D9EAF7" w:val="clear"/>
          </w:tcPr>
          <w:p>
            <w:pPr>
              <w:spacing w:after="0" w:before="0" w:line="240" w:lineRule="auto"/>
              <w:jc w:val="center"/>
            </w:pPr>
            <w:r/>
            <w:r>
              <w:rPr>
                <w:rFonts w:ascii="Cambria" w:hAnsi="Cambria"/>
                <w:b/>
                <w:i w:val="0"/>
                <w:color w:val="000000"/>
                <w:sz w:val="17"/>
              </w:rPr>
              <w:t>Version</w:t>
            </w:r>
          </w:p>
        </w:tc>
        <w:tc>
          <w:tcPr>
            <w:tcW w:type="dxa" w:w="1655"/>
            <w:vAlign w:val="center"/>
            <w:shd w:fill="D9EAF7" w:val="clear"/>
          </w:tcPr>
          <w:p>
            <w:pPr>
              <w:spacing w:after="0" w:before="0" w:line="240" w:lineRule="auto"/>
              <w:jc w:val="center"/>
            </w:pPr>
            <w:r/>
            <w:r>
              <w:rPr>
                <w:rFonts w:ascii="Cambria" w:hAnsi="Cambria"/>
                <w:b/>
                <w:i w:val="0"/>
                <w:color w:val="000000"/>
                <w:sz w:val="17"/>
              </w:rPr>
              <w:t>Date</w:t>
            </w:r>
          </w:p>
        </w:tc>
        <w:tc>
          <w:tcPr>
            <w:tcW w:type="dxa" w:w="3240"/>
            <w:vAlign w:val="center"/>
            <w:shd w:fill="D9EAF7" w:val="clear"/>
          </w:tcPr>
          <w:p>
            <w:pPr>
              <w:spacing w:after="0" w:before="0" w:line="240" w:lineRule="auto"/>
              <w:jc w:val="center"/>
            </w:pPr>
            <w:r/>
            <w:r>
              <w:rPr>
                <w:rFonts w:ascii="Cambria" w:hAnsi="Cambria"/>
                <w:b/>
                <w:i w:val="0"/>
                <w:color w:val="000000"/>
                <w:sz w:val="17"/>
              </w:rPr>
              <w:t>Change Summary</w:t>
            </w:r>
          </w:p>
        </w:tc>
        <w:tc>
          <w:tcPr>
            <w:tcW w:type="dxa" w:w="1728"/>
            <w:vAlign w:val="center"/>
            <w:shd w:fill="D9EAF7" w:val="clear"/>
          </w:tcPr>
          <w:p>
            <w:pPr>
              <w:spacing w:after="0" w:before="0" w:line="240" w:lineRule="auto"/>
              <w:jc w:val="center"/>
            </w:pPr>
            <w:r/>
            <w:r>
              <w:rPr>
                <w:rFonts w:ascii="Cambria" w:hAnsi="Cambria"/>
                <w:b/>
                <w:i w:val="0"/>
                <w:color w:val="000000"/>
                <w:sz w:val="17"/>
              </w:rPr>
              <w:t>Prepared By</w:t>
            </w:r>
          </w:p>
        </w:tc>
        <w:tc>
          <w:tcPr>
            <w:tcW w:type="dxa" w:w="1728"/>
            <w:vAlign w:val="center"/>
            <w:shd w:fill="D9EAF7" w:val="clear"/>
          </w:tcPr>
          <w:p>
            <w:pPr>
              <w:spacing w:after="0" w:before="0" w:line="240" w:lineRule="auto"/>
              <w:jc w:val="center"/>
            </w:pPr>
            <w:r/>
            <w:r>
              <w:rPr>
                <w:rFonts w:ascii="Cambria" w:hAnsi="Cambria"/>
                <w:b/>
                <w:i w:val="0"/>
                <w:color w:val="000000"/>
                <w:sz w:val="17"/>
              </w:rPr>
              <w:t>Approved By</w:t>
            </w:r>
          </w:p>
        </w:tc>
      </w:tr>
      <w:tr>
        <w:trPr>
          <w:cantSplit/>
        </w:trPr>
        <w:tc>
          <w:tcPr>
            <w:tcW w:type="dxa" w:w="936"/>
            <w:vAlign w:val="center"/>
          </w:tcPr>
          <w:p>
            <w:pPr>
              <w:spacing w:after="0" w:before="0" w:line="240" w:lineRule="auto"/>
              <w:jc w:val="left"/>
            </w:pPr>
            <w:r/>
            <w:r>
              <w:rPr>
                <w:rFonts w:ascii="Cambria" w:hAnsi="Cambria"/>
                <w:b w:val="0"/>
                <w:i w:val="0"/>
                <w:color w:val="000000"/>
                <w:sz w:val="17"/>
              </w:rPr>
              <w:t>1.0</w:t>
            </w:r>
          </w:p>
        </w:tc>
        <w:tc>
          <w:tcPr>
            <w:tcW w:type="dxa" w:w="1655"/>
            <w:vAlign w:val="center"/>
          </w:tcPr>
          <w:p>
            <w:pPr>
              <w:spacing w:after="0" w:before="0" w:line="240" w:lineRule="auto"/>
              <w:jc w:val="left"/>
            </w:pPr>
            <w:r/>
            <w:r>
              <w:rPr>
                <w:rFonts w:ascii="Cambria" w:hAnsi="Cambria"/>
                <w:b w:val="0"/>
                <w:i w:val="0"/>
                <w:color w:val="000000"/>
                <w:sz w:val="17"/>
              </w:rPr>
              <w:t>18 September 2026</w:t>
            </w:r>
          </w:p>
        </w:tc>
        <w:tc>
          <w:tcPr>
            <w:tcW w:type="dxa" w:w="3240"/>
            <w:vAlign w:val="center"/>
          </w:tcPr>
          <w:p>
            <w:pPr>
              <w:spacing w:after="0" w:before="0" w:line="240" w:lineRule="auto"/>
              <w:jc w:val="left"/>
            </w:pPr>
            <w:r/>
            <w:r>
              <w:rPr>
                <w:rFonts w:ascii="Cambria" w:hAnsi="Cambria"/>
                <w:b w:val="0"/>
                <w:i w:val="0"/>
                <w:color w:val="000000"/>
                <w:sz w:val="17"/>
              </w:rPr>
              <w:t>Initial controlled issue</w:t>
            </w:r>
          </w:p>
        </w:tc>
        <w:tc>
          <w:tcPr>
            <w:tcW w:type="dxa" w:w="1728"/>
            <w:vAlign w:val="center"/>
          </w:tcPr>
          <w:p>
            <w:pPr>
              <w:spacing w:after="0" w:before="0" w:line="240" w:lineRule="auto"/>
              <w:jc w:val="left"/>
            </w:pPr>
            <w:r/>
            <w:r>
              <w:rPr>
                <w:rFonts w:ascii="Cambria" w:hAnsi="Cambria"/>
                <w:b w:val="0"/>
                <w:i w:val="0"/>
                <w:color w:val="000000"/>
                <w:sz w:val="17"/>
              </w:rPr>
              <w:t>[DOCUMENT OWNER]</w:t>
            </w:r>
          </w:p>
        </w:tc>
        <w:tc>
          <w:tcPr>
            <w:tcW w:type="dxa" w:w="1728"/>
            <w:vAlign w:val="center"/>
          </w:tcPr>
          <w:p>
            <w:pPr>
              <w:spacing w:after="0" w:before="0" w:line="240" w:lineRule="auto"/>
              <w:jc w:val="left"/>
            </w:pPr>
            <w:r/>
            <w:r>
              <w:rPr>
                <w:rFonts w:ascii="Cambria" w:hAnsi="Cambria"/>
                <w:b w:val="0"/>
                <w:i w:val="0"/>
                <w:color w:val="000000"/>
                <w:sz w:val="17"/>
              </w:rPr>
              <w:t>[APPROVER]</w:t>
            </w:r>
          </w:p>
        </w:tc>
      </w:tr>
    </w:tbl>
    <w:sectPr w:rsidR="00FC693F" w:rsidRPr="0006063C" w:rsidSect="00034616">
      <w:headerReference w:type="default" r:id="rId9"/>
      <w:footerReference w:type="default" r:id="rId10"/>
      <w:pgSz w:w="11906" w:h="16838"/>
      <w:pgMar w:top="1134" w:right="1134" w:bottom="1134" w:left="1417" w:header="454" w:footer="454"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pPr>
    <w:r/>
  </w:p>
  <w:tbl>
    <w:tblPr>
      <w:tblW w:type="auto" w:w="0"/>
      <w:jc w:val="center"/>
      <w:tblLayout w:type="fixed"/>
      <w:tblLook w:val="04A0"/>
    </w:tblPr>
    <w:tblGrid>
      <w:gridCol w:w="3096"/>
      <w:gridCol w:w="3096"/>
      <w:gridCol w:w="3096"/>
    </w:tblGrid>
    <w:tr>
      <w:tc>
        <w:tcPr>
          <w:tcW w:type="dxa" w:w="1800"/>
          <w:vAlign w:val="center"/>
        </w:tcPr>
        <w:p>
          <w:pPr>
            <w:spacing w:after="0" w:before="0" w:line="240" w:lineRule="auto"/>
            <w:jc w:val="left"/>
          </w:pPr>
          <w:r/>
          <w:r>
            <w:rPr>
              <w:rFonts w:ascii="Cambria" w:hAnsi="Cambria"/>
              <w:b/>
              <w:i w:val="0"/>
              <w:color w:val="000000"/>
              <w:sz w:val="16"/>
            </w:rPr>
            <w:t>INTERNAL</w:t>
          </w:r>
        </w:p>
      </w:tc>
      <w:tc>
        <w:tcPr>
          <w:tcW w:type="dxa" w:w="5544"/>
          <w:vAlign w:val="center"/>
        </w:tcPr>
        <w:p>
          <w:pPr>
            <w:spacing w:after="0" w:before="0" w:line="240" w:lineRule="auto"/>
            <w:jc w:val="center"/>
          </w:pPr>
          <w:r/>
          <w:r>
            <w:rPr>
              <w:rFonts w:ascii="Cambria" w:hAnsi="Cambria"/>
              <w:b w:val="0"/>
              <w:i w:val="0"/>
              <w:color w:val="000000"/>
              <w:sz w:val="15"/>
            </w:rPr>
            <w:t>www.iso-toolkits.org  |  info@iso-toolkits.org</w:t>
          </w:r>
        </w:p>
      </w:tc>
      <w:tc>
        <w:tcPr>
          <w:tcW w:type="dxa" w:w="1944"/>
        </w:tcPr>
        <w:p>
          <w:pPr>
            <w:jc w:val="right"/>
          </w:pPr>
          <w:r/>
          <w:r>
            <w:rPr>
              <w:rFonts w:ascii="Cambria" w:hAnsi="Cambria"/>
              <w:b w:val="0"/>
              <w:i w:val="0"/>
              <w:color w:val="000000"/>
              <w:sz w:val="16"/>
            </w:rPr>
            <w:t xml:space="preserve">Page </w:t>
          </w:r>
          <w:r>
            <w:rPr>
              <w:rFonts w:ascii="Cambria" w:hAnsi="Cambria"/>
              <w:b w:val="0"/>
              <w:i w:val="0"/>
              <w:color w:val="000000"/>
              <w:sz w:val="16"/>
            </w:rPr>
            <w:fldChar w:fldCharType="begin"/>
            <w:instrText xml:space="preserve"> PAGE </w:instrText>
            <w:fldChar w:fldCharType="end"/>
          </w:r>
          <w:r>
            <w:rPr>
              <w:rFonts w:ascii="Cambria" w:hAnsi="Cambria"/>
              <w:b w:val="0"/>
              <w:i w:val="0"/>
              <w:color w:val="000000"/>
              <w:sz w:val="16"/>
            </w:rPr>
            <w:t xml:space="preserve"> of </w:t>
          </w:r>
          <w:r>
            <w:rPr>
              <w:rFonts w:ascii="Cambria" w:hAnsi="Cambria"/>
              <w:b w:val="0"/>
              <w:i w:val="0"/>
              <w:color w:val="000000"/>
              <w:sz w:val="16"/>
            </w:rPr>
            <w:fldChar w:fldCharType="begin"/>
            <w:instrText xml:space="preserve"> NUMPAGES </w:instrText>
            <w:fldChar w:fldCharType="end"/>
          </w:r>
        </w:p>
      </w:tc>
    </w:tr>
  </w:tbl>
</w:ftr>
</file>

<file path=word/header1.xml><?xml version="1.0" encoding="utf-8"?>
<w:hdr xmlns:w="http://schemas.openxmlformats.org/wordprocessingml/2006/main">
  <w:p>
    <w:pPr>
      <w:pStyle w:val="Header"/>
      <w:spacing w:after="0" w:before="0"/>
    </w:pPr>
    <w:r/>
  </w:p>
  <w:tbl>
    <w:tblPr>
      <w:tblStyle w:val="TableGrid"/>
      <w:tblW w:type="auto" w:w="0"/>
      <w:jc w:val="center"/>
      <w:tblLayout w:type="fixed"/>
      <w:tblLook w:val="04A0"/>
    </w:tblPr>
    <w:tblGrid>
      <w:gridCol w:w="3096"/>
      <w:gridCol w:w="3096"/>
      <w:gridCol w:w="3096"/>
    </w:tblGrid>
    <w:tr>
      <w:tc>
        <w:tcPr>
          <w:tcW w:type="dxa" w:w="1800"/>
          <w:vAlign w:val="center"/>
          <w:shd w:fill="F2F2F2" w:val="clear"/>
        </w:tcPr>
        <w:p>
          <w:pPr>
            <w:spacing w:after="0" w:before="0" w:line="240" w:lineRule="auto"/>
            <w:jc w:val="center"/>
          </w:pPr>
          <w:r/>
          <w:r>
            <w:rPr>
              <w:rFonts w:ascii="Cambria" w:hAnsi="Cambria"/>
              <w:b/>
              <w:i w:val="0"/>
              <w:color w:val="000000"/>
              <w:sz w:val="16"/>
            </w:rPr>
            <w:t>ORGANIZATION</w:t>
            <w:br/>
            <w:t>LOGO</w:t>
          </w:r>
        </w:p>
      </w:tc>
      <w:tc>
        <w:tcPr>
          <w:tcW w:type="dxa" w:w="5544"/>
          <w:vAlign w:val="center"/>
        </w:tcPr>
        <w:p>
          <w:pPr>
            <w:spacing w:after="0" w:before="0" w:line="240" w:lineRule="auto"/>
            <w:jc w:val="center"/>
          </w:pPr>
          <w:r/>
          <w:r>
            <w:rPr>
              <w:rFonts w:ascii="Cambria" w:hAnsi="Cambria"/>
              <w:b/>
              <w:i w:val="0"/>
              <w:color w:val="000000"/>
              <w:sz w:val="16"/>
            </w:rPr>
            <w:t>[ORGANIZATION NAME]</w:t>
            <w:br/>
            <w:t>Documented Information Guidance</w:t>
          </w:r>
        </w:p>
      </w:tc>
      <w:tc>
        <w:tcPr>
          <w:tcW w:type="dxa" w:w="1944"/>
          <w:vAlign w:val="center"/>
        </w:tcPr>
        <w:p>
          <w:pPr>
            <w:spacing w:after="0" w:before="0" w:line="240" w:lineRule="auto"/>
            <w:jc w:val="center"/>
          </w:pPr>
          <w:r/>
          <w:r>
            <w:rPr>
              <w:rFonts w:ascii="Cambria" w:hAnsi="Cambria"/>
              <w:b w:val="0"/>
              <w:i w:val="0"/>
              <w:color w:val="000000"/>
              <w:sz w:val="15"/>
            </w:rPr>
            <w:t>FSMS-GUI-001</w:t>
            <w:br/>
            <w:t>Version 1.0</w:t>
            <w:br/>
            <w:t>18 September 2026</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Cambria" w:hAnsi="Cambria"/>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Cambria" w:hAnsi="Cambria"/>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Cambria" w:hAnsi="Cambria"/>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80" w:line="259" w:lineRule="auto"/>
    </w:pPr>
    <w:rPr>
      <w:rFonts w:ascii="Cambria" w:hAnsi="Cambria"/>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Cambria" w:hAnsi="Cambria"/>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itle>Documented Information Guidance</dc:title>
  <dc:subject>Practical guidance for ISO 22000 documented information</dc:subject>
  <dc:creator>ISO Toolkits</dc:creator>
  <cp:keywords>ISO 22000, FSMS, food safety, documented information, management review</cp:keywords>
  <dc:description>Guidance for designing and controlling usable FSMS documents and records without unnecessary documentation.</dc:description>
  <cp:lastModifiedBy>ISO Toolkits</cp:lastModifiedBy>
  <cp:revision>1</cp:revision>
  <dcterms:created xsi:type="dcterms:W3CDTF">2013-12-23T23:15:00Z</dcterms:created>
  <dcterms:modified xsi:type="dcterms:W3CDTF">2013-12-23T23:15:00Z</dcterms:modified>
  <cp:category>ISO 22000 Toolkit</cp:category>
</cp:coreProperties>
</file>